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A8" w:rsidRDefault="00925825" w:rsidP="00925825">
      <w:pPr>
        <w:spacing w:after="0" w:line="240" w:lineRule="auto"/>
        <w:contextualSpacing/>
        <w:jc w:val="center"/>
        <w:rPr>
          <w:rFonts w:ascii="Times New Roman" w:hAnsi="Times New Roman" w:cs="Times New Roman"/>
          <w:b/>
          <w:sz w:val="24"/>
          <w:szCs w:val="24"/>
          <w:u w:val="single"/>
        </w:rPr>
      </w:pPr>
      <w:r w:rsidRPr="00925825">
        <w:rPr>
          <w:rFonts w:ascii="Times New Roman" w:hAnsi="Times New Roman" w:cs="Times New Roman"/>
          <w:b/>
          <w:sz w:val="24"/>
          <w:szCs w:val="24"/>
          <w:u w:val="single"/>
        </w:rPr>
        <w:t xml:space="preserve">Protokoll der </w:t>
      </w:r>
      <w:r w:rsidR="008B7A87">
        <w:rPr>
          <w:rFonts w:ascii="Times New Roman" w:hAnsi="Times New Roman" w:cs="Times New Roman"/>
          <w:b/>
          <w:sz w:val="24"/>
          <w:szCs w:val="24"/>
          <w:u w:val="single"/>
        </w:rPr>
        <w:t>6</w:t>
      </w:r>
      <w:r w:rsidR="00FD5084">
        <w:rPr>
          <w:rFonts w:ascii="Times New Roman" w:hAnsi="Times New Roman" w:cs="Times New Roman"/>
          <w:b/>
          <w:sz w:val="24"/>
          <w:szCs w:val="24"/>
          <w:u w:val="single"/>
        </w:rPr>
        <w:t>. Sitzung im S</w:t>
      </w:r>
      <w:r w:rsidRPr="00925825">
        <w:rPr>
          <w:rFonts w:ascii="Times New Roman" w:hAnsi="Times New Roman" w:cs="Times New Roman"/>
          <w:b/>
          <w:sz w:val="24"/>
          <w:szCs w:val="24"/>
          <w:u w:val="single"/>
        </w:rPr>
        <w:t xml:space="preserve">S 2015 am </w:t>
      </w:r>
      <w:r w:rsidR="008F44B9">
        <w:rPr>
          <w:rFonts w:ascii="Times New Roman" w:hAnsi="Times New Roman" w:cs="Times New Roman"/>
          <w:b/>
          <w:sz w:val="24"/>
          <w:szCs w:val="24"/>
          <w:u w:val="single"/>
        </w:rPr>
        <w:t>22</w:t>
      </w:r>
      <w:r w:rsidR="000C78A8">
        <w:rPr>
          <w:rFonts w:ascii="Times New Roman" w:hAnsi="Times New Roman" w:cs="Times New Roman"/>
          <w:b/>
          <w:sz w:val="24"/>
          <w:szCs w:val="24"/>
          <w:u w:val="single"/>
        </w:rPr>
        <w:t>.05</w:t>
      </w:r>
      <w:r w:rsidRPr="00925825">
        <w:rPr>
          <w:rFonts w:ascii="Times New Roman" w:hAnsi="Times New Roman" w:cs="Times New Roman"/>
          <w:b/>
          <w:sz w:val="24"/>
          <w:szCs w:val="24"/>
          <w:u w:val="single"/>
        </w:rPr>
        <w:t>.2015</w:t>
      </w:r>
    </w:p>
    <w:p w:rsidR="00925825" w:rsidRDefault="00925825" w:rsidP="00925825">
      <w:pPr>
        <w:spacing w:after="0" w:line="240" w:lineRule="auto"/>
        <w:contextualSpacing/>
        <w:rPr>
          <w:rFonts w:ascii="Times New Roman" w:hAnsi="Times New Roman" w:cs="Times New Roman"/>
          <w:sz w:val="24"/>
          <w:szCs w:val="24"/>
        </w:rPr>
      </w:pPr>
    </w:p>
    <w:p w:rsidR="00925825" w:rsidRDefault="00925825"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Beginn:</w:t>
      </w:r>
      <w:r w:rsidR="00FD5084">
        <w:rPr>
          <w:rFonts w:ascii="Times New Roman" w:hAnsi="Times New Roman" w:cs="Times New Roman"/>
          <w:sz w:val="24"/>
          <w:szCs w:val="24"/>
        </w:rPr>
        <w:t xml:space="preserve"> 09</w:t>
      </w:r>
      <w:r w:rsidR="000A55E6">
        <w:rPr>
          <w:rFonts w:ascii="Times New Roman" w:hAnsi="Times New Roman" w:cs="Times New Roman"/>
          <w:sz w:val="24"/>
          <w:szCs w:val="24"/>
        </w:rPr>
        <w:t>.15</w:t>
      </w:r>
      <w:r>
        <w:rPr>
          <w:rFonts w:ascii="Times New Roman" w:hAnsi="Times New Roman" w:cs="Times New Roman"/>
          <w:sz w:val="24"/>
          <w:szCs w:val="24"/>
        </w:rPr>
        <w:t xml:space="preserve"> Uhr</w:t>
      </w:r>
    </w:p>
    <w:p w:rsidR="00925825" w:rsidRDefault="00925825"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Ende:</w:t>
      </w:r>
      <w:r w:rsidR="0000792C">
        <w:rPr>
          <w:rFonts w:ascii="Times New Roman" w:hAnsi="Times New Roman" w:cs="Times New Roman"/>
          <w:sz w:val="24"/>
          <w:szCs w:val="24"/>
        </w:rPr>
        <w:t xml:space="preserve"> 10</w:t>
      </w:r>
      <w:r>
        <w:rPr>
          <w:rFonts w:ascii="Times New Roman" w:hAnsi="Times New Roman" w:cs="Times New Roman"/>
          <w:sz w:val="24"/>
          <w:szCs w:val="24"/>
        </w:rPr>
        <w:t>.</w:t>
      </w:r>
      <w:r w:rsidR="0000792C">
        <w:rPr>
          <w:rFonts w:ascii="Times New Roman" w:hAnsi="Times New Roman" w:cs="Times New Roman"/>
          <w:sz w:val="24"/>
          <w:szCs w:val="24"/>
        </w:rPr>
        <w:t>45</w:t>
      </w:r>
      <w:r>
        <w:rPr>
          <w:rFonts w:ascii="Times New Roman" w:hAnsi="Times New Roman" w:cs="Times New Roman"/>
          <w:sz w:val="24"/>
          <w:szCs w:val="24"/>
        </w:rPr>
        <w:t xml:space="preserve"> Uhr</w:t>
      </w:r>
    </w:p>
    <w:p w:rsidR="000A55E6" w:rsidRDefault="000A55E6"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Ort:</w:t>
      </w:r>
      <w:r>
        <w:rPr>
          <w:rFonts w:ascii="Times New Roman" w:hAnsi="Times New Roman" w:cs="Times New Roman"/>
          <w:sz w:val="24"/>
          <w:szCs w:val="24"/>
        </w:rPr>
        <w:t xml:space="preserve"> WiFa Grimmaische Sr. 12, SR </w:t>
      </w:r>
      <w:r w:rsidR="00FD5084">
        <w:rPr>
          <w:rFonts w:ascii="Times New Roman" w:hAnsi="Times New Roman" w:cs="Times New Roman"/>
          <w:sz w:val="24"/>
          <w:szCs w:val="24"/>
        </w:rPr>
        <w:t>7</w:t>
      </w:r>
    </w:p>
    <w:p w:rsidR="000A55E6" w:rsidRDefault="001101AA"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Protokoll</w:t>
      </w:r>
      <w:r w:rsidR="000A55E6" w:rsidRPr="00AA2FD9">
        <w:rPr>
          <w:rFonts w:ascii="Times New Roman" w:hAnsi="Times New Roman" w:cs="Times New Roman"/>
          <w:sz w:val="24"/>
          <w:szCs w:val="24"/>
          <w:u w:val="single"/>
        </w:rPr>
        <w:t>:</w:t>
      </w:r>
      <w:r w:rsidR="000A55E6">
        <w:rPr>
          <w:rFonts w:ascii="Times New Roman" w:hAnsi="Times New Roman" w:cs="Times New Roman"/>
          <w:sz w:val="24"/>
          <w:szCs w:val="24"/>
        </w:rPr>
        <w:t xml:space="preserve"> F. Fehlberg</w:t>
      </w:r>
    </w:p>
    <w:p w:rsidR="000A55E6" w:rsidRDefault="000A55E6" w:rsidP="00925825">
      <w:pPr>
        <w:spacing w:after="0" w:line="240" w:lineRule="auto"/>
        <w:contextualSpacing/>
        <w:rPr>
          <w:rFonts w:ascii="Times New Roman" w:hAnsi="Times New Roman" w:cs="Times New Roman"/>
          <w:sz w:val="24"/>
          <w:szCs w:val="24"/>
        </w:rPr>
      </w:pPr>
    </w:p>
    <w:p w:rsidR="000A55E6" w:rsidRDefault="000A55E6"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Anwesende:</w:t>
      </w:r>
      <w:r>
        <w:rPr>
          <w:rFonts w:ascii="Times New Roman" w:hAnsi="Times New Roman" w:cs="Times New Roman"/>
          <w:sz w:val="24"/>
          <w:szCs w:val="24"/>
        </w:rPr>
        <w:t xml:space="preserve"> </w:t>
      </w:r>
      <w:r w:rsidR="000C78A8">
        <w:rPr>
          <w:rFonts w:ascii="Times New Roman" w:hAnsi="Times New Roman" w:cs="Times New Roman"/>
          <w:sz w:val="24"/>
          <w:szCs w:val="24"/>
        </w:rPr>
        <w:t>6</w:t>
      </w:r>
      <w:r w:rsidR="003C4E46">
        <w:rPr>
          <w:rFonts w:ascii="Times New Roman" w:hAnsi="Times New Roman" w:cs="Times New Roman"/>
          <w:sz w:val="24"/>
          <w:szCs w:val="24"/>
        </w:rPr>
        <w:t xml:space="preserve"> Studierende;</w:t>
      </w:r>
      <w:r w:rsidR="00FD5084">
        <w:rPr>
          <w:rFonts w:ascii="Times New Roman" w:hAnsi="Times New Roman" w:cs="Times New Roman"/>
          <w:sz w:val="24"/>
          <w:szCs w:val="24"/>
        </w:rPr>
        <w:t xml:space="preserve"> </w:t>
      </w:r>
      <w:r w:rsidR="003C4E46">
        <w:rPr>
          <w:rFonts w:ascii="Times New Roman" w:hAnsi="Times New Roman" w:cs="Times New Roman"/>
          <w:sz w:val="24"/>
          <w:szCs w:val="24"/>
        </w:rPr>
        <w:t>2</w:t>
      </w:r>
      <w:r w:rsidR="00FD5084">
        <w:rPr>
          <w:rFonts w:ascii="Times New Roman" w:hAnsi="Times New Roman" w:cs="Times New Roman"/>
          <w:sz w:val="24"/>
          <w:szCs w:val="24"/>
        </w:rPr>
        <w:t xml:space="preserve"> </w:t>
      </w:r>
      <w:r w:rsidR="003C4E46">
        <w:rPr>
          <w:rFonts w:ascii="Times New Roman" w:hAnsi="Times New Roman" w:cs="Times New Roman"/>
          <w:sz w:val="24"/>
          <w:szCs w:val="24"/>
        </w:rPr>
        <w:t>Dozenten: F. und G. Quaas; 1 Protokollant: F. Fehlberg</w:t>
      </w:r>
    </w:p>
    <w:p w:rsidR="00AA2FD9" w:rsidRDefault="00AA2FD9" w:rsidP="00925825">
      <w:pPr>
        <w:spacing w:after="0" w:line="240" w:lineRule="auto"/>
        <w:contextualSpacing/>
        <w:rPr>
          <w:rFonts w:ascii="Times New Roman" w:hAnsi="Times New Roman" w:cs="Times New Roman"/>
          <w:sz w:val="24"/>
          <w:szCs w:val="24"/>
        </w:rPr>
      </w:pPr>
    </w:p>
    <w:p w:rsidR="003C4E46" w:rsidRDefault="00FD5084"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TOP: </w:t>
      </w:r>
    </w:p>
    <w:p w:rsidR="003C4E46" w:rsidRDefault="003C4E46" w:rsidP="00925825">
      <w:pPr>
        <w:spacing w:after="0" w:line="240" w:lineRule="auto"/>
        <w:contextualSpacing/>
        <w:rPr>
          <w:rFonts w:ascii="Times New Roman" w:hAnsi="Times New Roman" w:cs="Times New Roman"/>
          <w:sz w:val="24"/>
          <w:szCs w:val="24"/>
        </w:rPr>
      </w:pPr>
    </w:p>
    <w:p w:rsidR="00FD5084" w:rsidRDefault="003C4E46"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00792C">
        <w:rPr>
          <w:rFonts w:ascii="Times New Roman" w:hAnsi="Times New Roman" w:cs="Times New Roman"/>
          <w:sz w:val="24"/>
          <w:szCs w:val="24"/>
        </w:rPr>
        <w:t>Protokollbestätigung</w:t>
      </w:r>
      <w:r w:rsidR="008C4DD8">
        <w:rPr>
          <w:rFonts w:ascii="Times New Roman" w:hAnsi="Times New Roman" w:cs="Times New Roman"/>
          <w:sz w:val="24"/>
          <w:szCs w:val="24"/>
        </w:rPr>
        <w:t xml:space="preserve"> und </w:t>
      </w:r>
      <w:r w:rsidR="0028023A">
        <w:rPr>
          <w:rFonts w:ascii="Times New Roman" w:hAnsi="Times New Roman" w:cs="Times New Roman"/>
          <w:sz w:val="24"/>
          <w:szCs w:val="24"/>
        </w:rPr>
        <w:t>Hausarbeiten</w:t>
      </w:r>
    </w:p>
    <w:p w:rsidR="0000792C" w:rsidRDefault="00501ECC"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00792C">
        <w:rPr>
          <w:rFonts w:ascii="Times New Roman" w:hAnsi="Times New Roman" w:cs="Times New Roman"/>
          <w:sz w:val="24"/>
          <w:szCs w:val="24"/>
        </w:rPr>
        <w:t>. Diskussion</w:t>
      </w:r>
      <w:r w:rsidR="00C9346B">
        <w:rPr>
          <w:rFonts w:ascii="Times New Roman" w:hAnsi="Times New Roman" w:cs="Times New Roman"/>
          <w:sz w:val="24"/>
          <w:szCs w:val="24"/>
        </w:rPr>
        <w:t xml:space="preserve"> der</w:t>
      </w:r>
      <w:r w:rsidR="0000792C">
        <w:rPr>
          <w:rFonts w:ascii="Times New Roman" w:hAnsi="Times New Roman" w:cs="Times New Roman"/>
          <w:sz w:val="24"/>
          <w:szCs w:val="24"/>
        </w:rPr>
        <w:t xml:space="preserve"> </w:t>
      </w:r>
      <w:r w:rsidR="008758C4">
        <w:rPr>
          <w:rFonts w:ascii="Times New Roman" w:hAnsi="Times New Roman" w:cs="Times New Roman"/>
          <w:sz w:val="24"/>
          <w:szCs w:val="24"/>
        </w:rPr>
        <w:t>Quelle</w:t>
      </w:r>
      <w:r w:rsidR="0000792C">
        <w:rPr>
          <w:rFonts w:ascii="Times New Roman" w:hAnsi="Times New Roman" w:cs="Times New Roman"/>
          <w:sz w:val="24"/>
          <w:szCs w:val="24"/>
        </w:rPr>
        <w:t xml:space="preserve"> </w:t>
      </w:r>
      <w:r w:rsidR="00C9346B">
        <w:rPr>
          <w:rFonts w:ascii="Times New Roman" w:hAnsi="Times New Roman" w:cs="Times New Roman"/>
          <w:sz w:val="24"/>
          <w:szCs w:val="24"/>
        </w:rPr>
        <w:t>(</w:t>
      </w:r>
      <w:r>
        <w:rPr>
          <w:rFonts w:ascii="Times New Roman" w:hAnsi="Times New Roman" w:cs="Times New Roman"/>
          <w:sz w:val="24"/>
          <w:szCs w:val="24"/>
        </w:rPr>
        <w:t>Kapitel</w:t>
      </w:r>
      <w:r w:rsidR="0000792C">
        <w:rPr>
          <w:rFonts w:ascii="Times New Roman" w:hAnsi="Times New Roman" w:cs="Times New Roman"/>
          <w:sz w:val="24"/>
          <w:szCs w:val="24"/>
        </w:rPr>
        <w:t xml:space="preserve"> </w:t>
      </w:r>
      <w:r w:rsidR="001E5AB5">
        <w:rPr>
          <w:rFonts w:ascii="Times New Roman" w:hAnsi="Times New Roman" w:cs="Times New Roman"/>
          <w:sz w:val="24"/>
          <w:szCs w:val="24"/>
        </w:rPr>
        <w:t>6 und 7</w:t>
      </w:r>
      <w:r>
        <w:rPr>
          <w:rFonts w:ascii="Times New Roman" w:hAnsi="Times New Roman" w:cs="Times New Roman"/>
          <w:sz w:val="24"/>
          <w:szCs w:val="24"/>
        </w:rPr>
        <w:t xml:space="preserve"> </w:t>
      </w:r>
      <w:r w:rsidR="0000792C">
        <w:rPr>
          <w:rFonts w:ascii="Times New Roman" w:hAnsi="Times New Roman" w:cs="Times New Roman"/>
          <w:sz w:val="24"/>
          <w:szCs w:val="24"/>
        </w:rPr>
        <w:t>aus Piketty: Das Kapital</w:t>
      </w:r>
      <w:r w:rsidR="00C9346B">
        <w:rPr>
          <w:rFonts w:ascii="Times New Roman" w:hAnsi="Times New Roman" w:cs="Times New Roman"/>
          <w:sz w:val="24"/>
          <w:szCs w:val="24"/>
        </w:rPr>
        <w:t>)</w:t>
      </w:r>
    </w:p>
    <w:p w:rsidR="0000792C" w:rsidRDefault="002C7F21"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00792C">
        <w:rPr>
          <w:rFonts w:ascii="Times New Roman" w:hAnsi="Times New Roman" w:cs="Times New Roman"/>
          <w:sz w:val="24"/>
          <w:szCs w:val="24"/>
        </w:rPr>
        <w:t xml:space="preserve">. </w:t>
      </w:r>
      <w:r w:rsidR="00970D79">
        <w:rPr>
          <w:rFonts w:ascii="Times New Roman" w:hAnsi="Times New Roman" w:cs="Times New Roman"/>
          <w:sz w:val="24"/>
          <w:szCs w:val="24"/>
        </w:rPr>
        <w:t xml:space="preserve">Verlauf des ES und </w:t>
      </w:r>
      <w:r w:rsidR="0000792C">
        <w:rPr>
          <w:rFonts w:ascii="Times New Roman" w:hAnsi="Times New Roman" w:cs="Times New Roman"/>
          <w:sz w:val="24"/>
          <w:szCs w:val="24"/>
        </w:rPr>
        <w:t>Vorbereitung der nächsten Sitzung</w:t>
      </w:r>
    </w:p>
    <w:p w:rsidR="00FD5084" w:rsidRDefault="00FD5084" w:rsidP="00925825">
      <w:pPr>
        <w:spacing w:after="0" w:line="240" w:lineRule="auto"/>
        <w:contextualSpacing/>
        <w:rPr>
          <w:rFonts w:ascii="Times New Roman" w:hAnsi="Times New Roman" w:cs="Times New Roman"/>
          <w:sz w:val="24"/>
          <w:szCs w:val="24"/>
        </w:rPr>
      </w:pPr>
    </w:p>
    <w:p w:rsidR="001D51EF" w:rsidRPr="001D51EF" w:rsidRDefault="001D51EF" w:rsidP="001D51EF">
      <w:pPr>
        <w:spacing w:after="0" w:line="240" w:lineRule="auto"/>
        <w:contextualSpacing/>
        <w:jc w:val="center"/>
        <w:rPr>
          <w:rFonts w:ascii="Times New Roman" w:hAnsi="Times New Roman" w:cs="Times New Roman"/>
          <w:sz w:val="24"/>
          <w:szCs w:val="24"/>
          <w:u w:val="single"/>
        </w:rPr>
      </w:pPr>
      <w:r w:rsidRPr="001D51EF">
        <w:rPr>
          <w:rFonts w:ascii="Times New Roman" w:hAnsi="Times New Roman" w:cs="Times New Roman"/>
          <w:sz w:val="24"/>
          <w:szCs w:val="24"/>
          <w:u w:val="single"/>
        </w:rPr>
        <w:t xml:space="preserve">TOP 1 – </w:t>
      </w:r>
      <w:r w:rsidR="0000792C">
        <w:rPr>
          <w:rFonts w:ascii="Times New Roman" w:hAnsi="Times New Roman" w:cs="Times New Roman"/>
          <w:sz w:val="24"/>
          <w:szCs w:val="24"/>
          <w:u w:val="single"/>
        </w:rPr>
        <w:t>Protokollbestätigung</w:t>
      </w:r>
      <w:r w:rsidR="0028023A">
        <w:rPr>
          <w:rFonts w:ascii="Times New Roman" w:hAnsi="Times New Roman" w:cs="Times New Roman"/>
          <w:sz w:val="24"/>
          <w:szCs w:val="24"/>
          <w:u w:val="single"/>
        </w:rPr>
        <w:t xml:space="preserve"> und Hausarbeiten</w:t>
      </w:r>
    </w:p>
    <w:p w:rsidR="001D51EF" w:rsidRDefault="001D51EF" w:rsidP="00925825">
      <w:pPr>
        <w:spacing w:after="0" w:line="240" w:lineRule="auto"/>
        <w:contextualSpacing/>
        <w:rPr>
          <w:rFonts w:ascii="Times New Roman" w:hAnsi="Times New Roman" w:cs="Times New Roman"/>
          <w:sz w:val="24"/>
          <w:szCs w:val="24"/>
        </w:rPr>
      </w:pPr>
    </w:p>
    <w:p w:rsidR="00F53D64" w:rsidRDefault="00F92B9C"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Das Protokoll der Sitzung vom 15</w:t>
      </w:r>
      <w:r w:rsidR="000C78A8">
        <w:rPr>
          <w:rFonts w:ascii="Times New Roman" w:hAnsi="Times New Roman" w:cs="Times New Roman"/>
          <w:sz w:val="24"/>
          <w:szCs w:val="24"/>
        </w:rPr>
        <w:t xml:space="preserve">.05.2015 </w:t>
      </w:r>
      <w:r>
        <w:rPr>
          <w:rFonts w:ascii="Times New Roman" w:hAnsi="Times New Roman" w:cs="Times New Roman"/>
          <w:sz w:val="24"/>
          <w:szCs w:val="24"/>
        </w:rPr>
        <w:t>wird</w:t>
      </w:r>
      <w:r w:rsidR="000C78A8">
        <w:rPr>
          <w:rFonts w:ascii="Times New Roman" w:hAnsi="Times New Roman" w:cs="Times New Roman"/>
          <w:sz w:val="24"/>
          <w:szCs w:val="24"/>
        </w:rPr>
        <w:t xml:space="preserve"> einstimmig bestätigt.</w:t>
      </w:r>
    </w:p>
    <w:p w:rsidR="00AD3E71" w:rsidRDefault="00AD3E71" w:rsidP="00C8493C">
      <w:pPr>
        <w:spacing w:after="0" w:line="240" w:lineRule="auto"/>
        <w:contextualSpacing/>
        <w:jc w:val="both"/>
        <w:rPr>
          <w:rFonts w:ascii="Times New Roman" w:hAnsi="Times New Roman" w:cs="Times New Roman"/>
          <w:sz w:val="24"/>
          <w:szCs w:val="24"/>
        </w:rPr>
      </w:pPr>
    </w:p>
    <w:p w:rsidR="00AD3E71" w:rsidRDefault="00AD3E71"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Dozenten raten den ES-Teilnehmern (TN), in den folgenden Wochen ihre möglichen Hausarbeitsthemen zu konkretisieren. Das Erwägungsinitial – Pikettys „Kapital“ – lasse dabei aufgrund seiner breiten Anlage eine sehr große Freiheit. Es wird empfohlen, mögliche Hausarbeitsthemen in der Gruppe zur Diskussion zu stellen</w:t>
      </w:r>
      <w:r w:rsidR="00EC0CC8">
        <w:rPr>
          <w:rFonts w:ascii="Times New Roman" w:hAnsi="Times New Roman" w:cs="Times New Roman"/>
          <w:sz w:val="24"/>
          <w:szCs w:val="24"/>
        </w:rPr>
        <w:t>.</w:t>
      </w:r>
      <w:r>
        <w:rPr>
          <w:rFonts w:ascii="Times New Roman" w:hAnsi="Times New Roman" w:cs="Times New Roman"/>
          <w:sz w:val="24"/>
          <w:szCs w:val="24"/>
        </w:rPr>
        <w:t xml:space="preserve"> Im Falle eines TN wird dies sogleich umgesetzt, wobei (Literatur-)Anregungen auch aus der Gruppe kommen (Bsp.-Thema: „Gibt es eine optimale Staatsschuldenquote?“).</w:t>
      </w:r>
    </w:p>
    <w:p w:rsidR="000C78A8" w:rsidRDefault="000C78A8" w:rsidP="00C8493C">
      <w:pPr>
        <w:spacing w:after="0" w:line="240" w:lineRule="auto"/>
        <w:contextualSpacing/>
        <w:jc w:val="both"/>
        <w:rPr>
          <w:rFonts w:ascii="Times New Roman" w:hAnsi="Times New Roman" w:cs="Times New Roman"/>
          <w:sz w:val="24"/>
          <w:szCs w:val="24"/>
        </w:rPr>
      </w:pPr>
    </w:p>
    <w:p w:rsidR="00F53D64" w:rsidRPr="00771443" w:rsidRDefault="00F53D64" w:rsidP="00F53D64">
      <w:pPr>
        <w:spacing w:after="0" w:line="240" w:lineRule="auto"/>
        <w:contextualSpacing/>
        <w:jc w:val="center"/>
        <w:rPr>
          <w:rFonts w:ascii="Times New Roman" w:hAnsi="Times New Roman" w:cs="Times New Roman"/>
          <w:sz w:val="24"/>
          <w:szCs w:val="24"/>
          <w:u w:val="single"/>
        </w:rPr>
      </w:pPr>
      <w:r w:rsidRPr="00771443">
        <w:rPr>
          <w:rFonts w:ascii="Times New Roman" w:hAnsi="Times New Roman" w:cs="Times New Roman"/>
          <w:sz w:val="24"/>
          <w:szCs w:val="24"/>
          <w:u w:val="single"/>
        </w:rPr>
        <w:t xml:space="preserve">TOP 2 – </w:t>
      </w:r>
      <w:r w:rsidR="00771443" w:rsidRPr="00771443">
        <w:rPr>
          <w:rFonts w:ascii="Times New Roman" w:hAnsi="Times New Roman" w:cs="Times New Roman"/>
          <w:sz w:val="24"/>
          <w:szCs w:val="24"/>
          <w:u w:val="single"/>
        </w:rPr>
        <w:t xml:space="preserve">Diskussion der Quelle (Kapitel </w:t>
      </w:r>
      <w:r w:rsidR="001E5AB5">
        <w:rPr>
          <w:rFonts w:ascii="Times New Roman" w:hAnsi="Times New Roman" w:cs="Times New Roman"/>
          <w:sz w:val="24"/>
          <w:szCs w:val="24"/>
          <w:u w:val="single"/>
        </w:rPr>
        <w:t>6 und 7</w:t>
      </w:r>
      <w:r w:rsidR="00771443" w:rsidRPr="00771443">
        <w:rPr>
          <w:rFonts w:ascii="Times New Roman" w:hAnsi="Times New Roman" w:cs="Times New Roman"/>
          <w:sz w:val="24"/>
          <w:szCs w:val="24"/>
          <w:u w:val="single"/>
        </w:rPr>
        <w:t xml:space="preserve"> aus Piketty: Das Kapital)</w:t>
      </w:r>
    </w:p>
    <w:p w:rsidR="002D5E03" w:rsidRDefault="002D5E03" w:rsidP="00F53D64">
      <w:pPr>
        <w:spacing w:after="0" w:line="240" w:lineRule="auto"/>
        <w:contextualSpacing/>
        <w:jc w:val="center"/>
        <w:rPr>
          <w:rFonts w:ascii="Times New Roman" w:hAnsi="Times New Roman" w:cs="Times New Roman"/>
          <w:sz w:val="24"/>
          <w:szCs w:val="24"/>
          <w:u w:val="single"/>
        </w:rPr>
      </w:pPr>
    </w:p>
    <w:p w:rsidR="00D65209" w:rsidRPr="00A369D4" w:rsidRDefault="00D65209" w:rsidP="00A369D4">
      <w:pPr>
        <w:spacing w:after="0" w:line="240" w:lineRule="auto"/>
        <w:contextualSpacing/>
        <w:jc w:val="center"/>
        <w:rPr>
          <w:rFonts w:ascii="Times New Roman" w:hAnsi="Times New Roman" w:cs="Times New Roman"/>
          <w:i/>
          <w:sz w:val="24"/>
          <w:szCs w:val="24"/>
        </w:rPr>
      </w:pPr>
      <w:r w:rsidRPr="00A369D4">
        <w:rPr>
          <w:rFonts w:ascii="Times New Roman" w:hAnsi="Times New Roman" w:cs="Times New Roman"/>
          <w:i/>
          <w:sz w:val="24"/>
          <w:szCs w:val="24"/>
        </w:rPr>
        <w:t xml:space="preserve">a) </w:t>
      </w:r>
      <w:r w:rsidR="007C3B7D">
        <w:rPr>
          <w:rFonts w:ascii="Times New Roman" w:hAnsi="Times New Roman" w:cs="Times New Roman"/>
          <w:i/>
          <w:sz w:val="24"/>
          <w:szCs w:val="24"/>
        </w:rPr>
        <w:t xml:space="preserve">Wozu dient </w:t>
      </w:r>
      <w:r w:rsidR="003A4E48">
        <w:rPr>
          <w:rFonts w:ascii="Times New Roman" w:hAnsi="Times New Roman" w:cs="Times New Roman"/>
          <w:i/>
          <w:sz w:val="24"/>
          <w:szCs w:val="24"/>
        </w:rPr>
        <w:t xml:space="preserve">das </w:t>
      </w:r>
      <w:r w:rsidR="007C3B7D">
        <w:rPr>
          <w:rFonts w:ascii="Times New Roman" w:hAnsi="Times New Roman" w:cs="Times New Roman"/>
          <w:i/>
          <w:sz w:val="24"/>
          <w:szCs w:val="24"/>
        </w:rPr>
        <w:t>Kapital und was meint Piketty mit Substitutionselastizität?</w:t>
      </w:r>
    </w:p>
    <w:p w:rsidR="00D65209" w:rsidRDefault="00D65209" w:rsidP="000D648F">
      <w:pPr>
        <w:spacing w:after="0" w:line="240" w:lineRule="auto"/>
        <w:contextualSpacing/>
        <w:rPr>
          <w:rFonts w:ascii="Times New Roman" w:hAnsi="Times New Roman" w:cs="Times New Roman"/>
          <w:sz w:val="24"/>
          <w:szCs w:val="24"/>
        </w:rPr>
      </w:pPr>
    </w:p>
    <w:p w:rsidR="00FC374A" w:rsidRDefault="000B692F" w:rsidP="00E74F94">
      <w:pPr>
        <w:spacing w:after="0" w:line="240" w:lineRule="auto"/>
        <w:contextualSpacing/>
        <w:jc w:val="both"/>
        <w:rPr>
          <w:rFonts w:ascii="Times New Roman" w:hAnsi="Times New Roman" w:cs="Times New Roman"/>
          <w:sz w:val="24"/>
          <w:szCs w:val="24"/>
        </w:rPr>
      </w:pPr>
      <w:r w:rsidRPr="00241B12">
        <w:rPr>
          <w:rFonts w:ascii="Times New Roman" w:hAnsi="Times New Roman" w:cs="Times New Roman"/>
          <w:sz w:val="24"/>
          <w:szCs w:val="24"/>
        </w:rPr>
        <w:t xml:space="preserve">Das Eingangsstatement </w:t>
      </w:r>
      <w:r w:rsidR="007C3B7D">
        <w:rPr>
          <w:rFonts w:ascii="Times New Roman" w:hAnsi="Times New Roman" w:cs="Times New Roman"/>
          <w:sz w:val="24"/>
          <w:szCs w:val="24"/>
        </w:rPr>
        <w:t>orientiert sich an Pikettys Frage, wozu Kapital diene. Zwar schneide der Autor eine zentrale Frage an, seine Antwort sei jedoch unbefriedigend bis enttäuschend, da er in den konventionellen Konzepten der Grenzproduktivität</w:t>
      </w:r>
      <w:r w:rsidR="000B159A">
        <w:rPr>
          <w:rFonts w:ascii="Times New Roman" w:hAnsi="Times New Roman" w:cs="Times New Roman"/>
          <w:sz w:val="24"/>
          <w:szCs w:val="24"/>
        </w:rPr>
        <w:t xml:space="preserve"> (bei </w:t>
      </w:r>
      <w:r w:rsidR="00D86F14">
        <w:rPr>
          <w:rFonts w:ascii="Times New Roman" w:hAnsi="Times New Roman" w:cs="Times New Roman"/>
          <w:sz w:val="24"/>
          <w:szCs w:val="24"/>
        </w:rPr>
        <w:t>wachsendem</w:t>
      </w:r>
      <w:r w:rsidR="000B159A">
        <w:rPr>
          <w:rFonts w:ascii="Times New Roman" w:hAnsi="Times New Roman" w:cs="Times New Roman"/>
          <w:sz w:val="24"/>
          <w:szCs w:val="24"/>
        </w:rPr>
        <w:t xml:space="preserve"> Kapitalstock</w:t>
      </w:r>
      <w:r w:rsidR="002B1CFC">
        <w:rPr>
          <w:rFonts w:ascii="Times New Roman" w:hAnsi="Times New Roman" w:cs="Times New Roman"/>
          <w:sz w:val="24"/>
          <w:szCs w:val="24"/>
        </w:rPr>
        <w:t xml:space="preserve"> nehme </w:t>
      </w:r>
      <w:r w:rsidR="00CC1744">
        <w:rPr>
          <w:rFonts w:ascii="Times New Roman" w:hAnsi="Times New Roman" w:cs="Times New Roman"/>
          <w:sz w:val="24"/>
          <w:szCs w:val="24"/>
        </w:rPr>
        <w:t>sein produktiver</w:t>
      </w:r>
      <w:r w:rsidR="00D86F14">
        <w:rPr>
          <w:rFonts w:ascii="Times New Roman" w:hAnsi="Times New Roman" w:cs="Times New Roman"/>
          <w:sz w:val="24"/>
          <w:szCs w:val="24"/>
        </w:rPr>
        <w:t xml:space="preserve"> Nutzen ab</w:t>
      </w:r>
      <w:r w:rsidR="000B159A">
        <w:rPr>
          <w:rFonts w:ascii="Times New Roman" w:hAnsi="Times New Roman" w:cs="Times New Roman"/>
          <w:sz w:val="24"/>
          <w:szCs w:val="24"/>
        </w:rPr>
        <w:t>)</w:t>
      </w:r>
      <w:r w:rsidR="007C3B7D">
        <w:rPr>
          <w:rFonts w:ascii="Times New Roman" w:hAnsi="Times New Roman" w:cs="Times New Roman"/>
          <w:sz w:val="24"/>
          <w:szCs w:val="24"/>
        </w:rPr>
        <w:t xml:space="preserve"> verhaftet bleibe.</w:t>
      </w:r>
    </w:p>
    <w:p w:rsidR="007C3B7D" w:rsidRDefault="007C3B7D" w:rsidP="00E74F94">
      <w:pPr>
        <w:spacing w:after="0" w:line="240" w:lineRule="auto"/>
        <w:contextualSpacing/>
        <w:jc w:val="both"/>
        <w:rPr>
          <w:rFonts w:ascii="Times New Roman" w:hAnsi="Times New Roman" w:cs="Times New Roman"/>
          <w:sz w:val="24"/>
          <w:szCs w:val="24"/>
        </w:rPr>
      </w:pPr>
    </w:p>
    <w:p w:rsidR="00DB6256" w:rsidRDefault="007C3B7D"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Zunächst klärt die Gruppe, was unter Substitutionselastizität bei Piketty zu verstehen sei. Im Rückgriff auf das französische Original – die Übersetzung stifte mehr Verwirrung als </w:t>
      </w:r>
      <w:r w:rsidR="00C2460F">
        <w:rPr>
          <w:rFonts w:ascii="Times New Roman" w:hAnsi="Times New Roman" w:cs="Times New Roman"/>
          <w:sz w:val="24"/>
          <w:szCs w:val="24"/>
        </w:rPr>
        <w:t>Klarheit</w:t>
      </w:r>
      <w:r>
        <w:rPr>
          <w:rFonts w:ascii="Times New Roman" w:hAnsi="Times New Roman" w:cs="Times New Roman"/>
          <w:sz w:val="24"/>
          <w:szCs w:val="24"/>
        </w:rPr>
        <w:t xml:space="preserve"> – sei nicht gemeint, das</w:t>
      </w:r>
      <w:r w:rsidR="00133BA4">
        <w:rPr>
          <w:rFonts w:ascii="Times New Roman" w:hAnsi="Times New Roman" w:cs="Times New Roman"/>
          <w:sz w:val="24"/>
          <w:szCs w:val="24"/>
        </w:rPr>
        <w:t>s</w:t>
      </w:r>
      <w:r>
        <w:rPr>
          <w:rFonts w:ascii="Times New Roman" w:hAnsi="Times New Roman" w:cs="Times New Roman"/>
          <w:sz w:val="24"/>
          <w:szCs w:val="24"/>
        </w:rPr>
        <w:t xml:space="preserve"> tatsächlich Arbeit Kapital ersetzen könne. Vielmehr sei</w:t>
      </w:r>
      <w:r w:rsidR="00DB6256">
        <w:rPr>
          <w:rFonts w:ascii="Times New Roman" w:hAnsi="Times New Roman" w:cs="Times New Roman"/>
          <w:sz w:val="24"/>
          <w:szCs w:val="24"/>
        </w:rPr>
        <w:t xml:space="preserve"> die Substitutionselastizität</w:t>
      </w:r>
      <w:r>
        <w:rPr>
          <w:rFonts w:ascii="Times New Roman" w:hAnsi="Times New Roman" w:cs="Times New Roman"/>
          <w:sz w:val="24"/>
          <w:szCs w:val="24"/>
        </w:rPr>
        <w:t xml:space="preserve"> im Sinne der Cobb-D</w:t>
      </w:r>
      <w:r w:rsidR="000B3861">
        <w:rPr>
          <w:rFonts w:ascii="Times New Roman" w:hAnsi="Times New Roman" w:cs="Times New Roman"/>
          <w:sz w:val="24"/>
          <w:szCs w:val="24"/>
        </w:rPr>
        <w:t>ouglas-Produktionsfunktion eine Orientierung der Summe der Exponenten (</w:t>
      </w:r>
      <w:r w:rsidR="00B616CD">
        <w:rPr>
          <w:rFonts w:ascii="Times New Roman" w:hAnsi="Times New Roman" w:cs="Times New Roman"/>
          <w:sz w:val="24"/>
          <w:szCs w:val="24"/>
        </w:rPr>
        <w:t>Zusammensetzungselastizität des Faktoreneinsatzes Kapital und Arbeit</w:t>
      </w:r>
      <w:r w:rsidR="000B3861">
        <w:rPr>
          <w:rFonts w:ascii="Times New Roman" w:hAnsi="Times New Roman" w:cs="Times New Roman"/>
          <w:sz w:val="24"/>
          <w:szCs w:val="24"/>
        </w:rPr>
        <w:t>) am</w:t>
      </w:r>
      <w:r w:rsidR="00B616CD">
        <w:rPr>
          <w:rFonts w:ascii="Times New Roman" w:hAnsi="Times New Roman" w:cs="Times New Roman"/>
          <w:sz w:val="24"/>
          <w:szCs w:val="24"/>
        </w:rPr>
        <w:t xml:space="preserve"> möglichen</w:t>
      </w:r>
      <w:r w:rsidR="000B3861">
        <w:rPr>
          <w:rFonts w:ascii="Times New Roman" w:hAnsi="Times New Roman" w:cs="Times New Roman"/>
          <w:sz w:val="24"/>
          <w:szCs w:val="24"/>
        </w:rPr>
        <w:t xml:space="preserve"> Output/Produktionsausstoß (1 = 100%).</w:t>
      </w:r>
    </w:p>
    <w:p w:rsidR="00DF1E37" w:rsidRDefault="00DF1E37" w:rsidP="00E74F94">
      <w:pPr>
        <w:spacing w:after="0" w:line="240" w:lineRule="auto"/>
        <w:contextualSpacing/>
        <w:jc w:val="both"/>
        <w:rPr>
          <w:rFonts w:ascii="Times New Roman" w:hAnsi="Times New Roman" w:cs="Times New Roman"/>
          <w:sz w:val="24"/>
          <w:szCs w:val="24"/>
        </w:rPr>
      </w:pPr>
    </w:p>
    <w:p w:rsidR="00DF1E37" w:rsidRDefault="00DF1E37" w:rsidP="00293A7E">
      <w:pPr>
        <w:spacing w:after="0" w:line="240" w:lineRule="auto"/>
        <w:contextualSpacing/>
        <w:rPr>
          <w:rFonts w:ascii="Times New Roman" w:hAnsi="Times New Roman" w:cs="Times New Roman"/>
          <w:sz w:val="24"/>
          <w:szCs w:val="24"/>
        </w:rPr>
      </w:pPr>
      <w:r w:rsidRPr="00DF1E37">
        <w:rPr>
          <w:rFonts w:ascii="Times New Roman" w:hAnsi="Times New Roman" w:cs="Times New Roman"/>
          <w:sz w:val="24"/>
          <w:szCs w:val="24"/>
        </w:rPr>
        <w:t>Y</w:t>
      </w:r>
      <w:r>
        <w:rPr>
          <w:rFonts w:ascii="Times New Roman" w:hAnsi="Times New Roman" w:cs="Times New Roman"/>
          <w:sz w:val="24"/>
          <w:szCs w:val="24"/>
        </w:rPr>
        <w:t xml:space="preserve"> </w:t>
      </w:r>
      <w:r w:rsidRPr="00DF1E37">
        <w:rPr>
          <w:rFonts w:ascii="Times New Roman" w:hAnsi="Times New Roman" w:cs="Times New Roman"/>
          <w:sz w:val="24"/>
          <w:szCs w:val="24"/>
        </w:rPr>
        <w:t>=</w:t>
      </w:r>
      <w:r>
        <w:rPr>
          <w:rFonts w:ascii="Times New Roman" w:hAnsi="Times New Roman" w:cs="Times New Roman"/>
          <w:sz w:val="24"/>
          <w:szCs w:val="24"/>
        </w:rPr>
        <w:t xml:space="preserve"> </w:t>
      </w:r>
      <w:r w:rsidRPr="00DF1E37">
        <w:rPr>
          <w:rFonts w:ascii="Times New Roman" w:hAnsi="Times New Roman" w:cs="Times New Roman"/>
          <w:sz w:val="24"/>
          <w:szCs w:val="24"/>
        </w:rPr>
        <w:t>F(K,L)</w:t>
      </w:r>
      <w:r>
        <w:rPr>
          <w:rFonts w:ascii="Times New Roman" w:hAnsi="Times New Roman" w:cs="Times New Roman"/>
          <w:sz w:val="24"/>
          <w:szCs w:val="24"/>
        </w:rPr>
        <w:t xml:space="preserve"> </w:t>
      </w:r>
      <w:r w:rsidRPr="00DF1E37">
        <w:rPr>
          <w:rFonts w:ascii="Times New Roman" w:hAnsi="Times New Roman" w:cs="Times New Roman"/>
          <w:sz w:val="24"/>
          <w:szCs w:val="24"/>
        </w:rPr>
        <w:t>= K</w:t>
      </w:r>
      <w:r w:rsidRPr="00DF1E37">
        <w:rPr>
          <w:rFonts w:ascii="Times New Roman" w:hAnsi="Times New Roman" w:cs="Times New Roman"/>
          <w:sz w:val="24"/>
          <w:szCs w:val="24"/>
          <w:vertAlign w:val="superscript"/>
        </w:rPr>
        <w:t>α</w:t>
      </w:r>
      <w:r w:rsidRPr="00DF1E37">
        <w:rPr>
          <w:rFonts w:ascii="Times New Roman" w:hAnsi="Times New Roman" w:cs="Times New Roman"/>
          <w:sz w:val="24"/>
          <w:szCs w:val="24"/>
        </w:rPr>
        <w:t xml:space="preserve"> L</w:t>
      </w:r>
      <w:r w:rsidRPr="00DF1E37">
        <w:rPr>
          <w:rFonts w:ascii="Times New Roman" w:hAnsi="Times New Roman" w:cs="Times New Roman"/>
          <w:sz w:val="24"/>
          <w:szCs w:val="24"/>
          <w:vertAlign w:val="superscript"/>
        </w:rPr>
        <w:t>(1-α)</w:t>
      </w:r>
    </w:p>
    <w:p w:rsidR="00DF1E37" w:rsidRDefault="00DF1E37" w:rsidP="00E74F94">
      <w:pPr>
        <w:spacing w:after="0" w:line="240" w:lineRule="auto"/>
        <w:contextualSpacing/>
        <w:jc w:val="both"/>
        <w:rPr>
          <w:rFonts w:ascii="Times New Roman" w:hAnsi="Times New Roman" w:cs="Times New Roman"/>
          <w:sz w:val="24"/>
          <w:szCs w:val="24"/>
        </w:rPr>
      </w:pPr>
    </w:p>
    <w:p w:rsidR="00DF1E37" w:rsidRDefault="00DF1E37"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Cobb-Douglas-Produktionsfunktion nach Piketty (289) mit einer Substitutionselastizität von 1)</w:t>
      </w:r>
    </w:p>
    <w:p w:rsidR="00DB6256" w:rsidRDefault="00DB6256" w:rsidP="00E74F94">
      <w:pPr>
        <w:spacing w:after="0" w:line="240" w:lineRule="auto"/>
        <w:contextualSpacing/>
        <w:jc w:val="both"/>
        <w:rPr>
          <w:rFonts w:ascii="Times New Roman" w:hAnsi="Times New Roman" w:cs="Times New Roman"/>
          <w:sz w:val="24"/>
          <w:szCs w:val="24"/>
        </w:rPr>
      </w:pPr>
    </w:p>
    <w:p w:rsidR="007C3B7D" w:rsidRDefault="00DB6256"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Bei einer Substitutionselastizität von unter 1 sinke die Grenzproduktivität des Kapitals, d.h.</w:t>
      </w:r>
      <w:r w:rsidR="00911A63">
        <w:rPr>
          <w:rFonts w:ascii="Times New Roman" w:hAnsi="Times New Roman" w:cs="Times New Roman"/>
          <w:sz w:val="24"/>
          <w:szCs w:val="24"/>
        </w:rPr>
        <w:t xml:space="preserve"> damit</w:t>
      </w:r>
      <w:r>
        <w:rPr>
          <w:rFonts w:ascii="Times New Roman" w:hAnsi="Times New Roman" w:cs="Times New Roman"/>
          <w:sz w:val="24"/>
          <w:szCs w:val="24"/>
        </w:rPr>
        <w:t xml:space="preserve"> im Sinne von Cobb-Douglas</w:t>
      </w:r>
      <w:r w:rsidR="00911A63">
        <w:rPr>
          <w:rFonts w:ascii="Times New Roman" w:hAnsi="Times New Roman" w:cs="Times New Roman"/>
          <w:sz w:val="24"/>
          <w:szCs w:val="24"/>
        </w:rPr>
        <w:t xml:space="preserve"> auch</w:t>
      </w:r>
      <w:r>
        <w:rPr>
          <w:rFonts w:ascii="Times New Roman" w:hAnsi="Times New Roman" w:cs="Times New Roman"/>
          <w:sz w:val="24"/>
          <w:szCs w:val="24"/>
        </w:rPr>
        <w:t xml:space="preserve"> die Kapitalrendite samt dem Kapitalanteil </w:t>
      </w:r>
      <w:r w:rsidRPr="006D1FD7">
        <w:rPr>
          <w:rFonts w:ascii="Times New Roman" w:hAnsi="Times New Roman" w:cs="Times New Roman"/>
          <w:sz w:val="24"/>
          <w:szCs w:val="24"/>
        </w:rPr>
        <w:t>α</w:t>
      </w:r>
      <w:r w:rsidR="00B616CD">
        <w:rPr>
          <w:rFonts w:ascii="Times New Roman" w:hAnsi="Times New Roman" w:cs="Times New Roman"/>
          <w:sz w:val="24"/>
          <w:szCs w:val="24"/>
        </w:rPr>
        <w:t xml:space="preserve"> am Nationaleinkommen</w:t>
      </w:r>
      <w:r>
        <w:rPr>
          <w:rFonts w:ascii="Times New Roman" w:hAnsi="Times New Roman" w:cs="Times New Roman"/>
          <w:sz w:val="24"/>
          <w:szCs w:val="24"/>
        </w:rPr>
        <w:t>, unabhängig von der Höhe des Kapital-Einkommens-Verhältnisses (KEV).</w:t>
      </w:r>
      <w:r w:rsidR="00536D26">
        <w:rPr>
          <w:rFonts w:ascii="Times New Roman" w:hAnsi="Times New Roman" w:cs="Times New Roman"/>
          <w:sz w:val="24"/>
          <w:szCs w:val="24"/>
        </w:rPr>
        <w:t xml:space="preserve"> Cobb-Douglas gehen von einer Substitutionselastizität von 1 aus, d.h. die Faktoren </w:t>
      </w:r>
      <w:r w:rsidR="00536D26">
        <w:rPr>
          <w:rFonts w:ascii="Times New Roman" w:hAnsi="Times New Roman" w:cs="Times New Roman"/>
          <w:sz w:val="24"/>
          <w:szCs w:val="24"/>
        </w:rPr>
        <w:lastRenderedPageBreak/>
        <w:t>Kapital und Arbeit können immer so eingesetzt werden, dass die Anteile von Kapital und Arbeit am Nationaleinkommen konstant bleiben (etwa 30/70), unabhängig von der Höhe des KEV. Je nach Grenzproduktivität des Kapitals passe sich die Kapitalrendite</w:t>
      </w:r>
      <w:r w:rsidR="00207810">
        <w:rPr>
          <w:rFonts w:ascii="Times New Roman" w:hAnsi="Times New Roman" w:cs="Times New Roman"/>
          <w:sz w:val="24"/>
          <w:szCs w:val="24"/>
        </w:rPr>
        <w:t xml:space="preserve"> in diesem Fall</w:t>
      </w:r>
      <w:r w:rsidR="00536D26">
        <w:rPr>
          <w:rFonts w:ascii="Times New Roman" w:hAnsi="Times New Roman" w:cs="Times New Roman"/>
          <w:sz w:val="24"/>
          <w:szCs w:val="24"/>
        </w:rPr>
        <w:t xml:space="preserve"> so an, dass stets ein gleichbleibender Kapitalanteil zustandekomme</w:t>
      </w:r>
      <w:r w:rsidR="00C63BA6">
        <w:rPr>
          <w:rFonts w:ascii="Times New Roman" w:hAnsi="Times New Roman" w:cs="Times New Roman"/>
          <w:sz w:val="24"/>
          <w:szCs w:val="24"/>
        </w:rPr>
        <w:t xml:space="preserve"> (Gleichgewicht)</w:t>
      </w:r>
      <w:r w:rsidR="00536D26">
        <w:rPr>
          <w:rFonts w:ascii="Times New Roman" w:hAnsi="Times New Roman" w:cs="Times New Roman"/>
          <w:sz w:val="24"/>
          <w:szCs w:val="24"/>
        </w:rPr>
        <w:t>.</w:t>
      </w:r>
    </w:p>
    <w:p w:rsidR="00536D26" w:rsidRDefault="00536D26" w:rsidP="00E74F94">
      <w:pPr>
        <w:spacing w:after="0" w:line="240" w:lineRule="auto"/>
        <w:contextualSpacing/>
        <w:jc w:val="both"/>
        <w:rPr>
          <w:rFonts w:ascii="Times New Roman" w:hAnsi="Times New Roman" w:cs="Times New Roman"/>
          <w:sz w:val="24"/>
          <w:szCs w:val="24"/>
        </w:rPr>
      </w:pPr>
    </w:p>
    <w:p w:rsidR="00536D26" w:rsidRDefault="00EC1CEA"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Anders als Cobb-Douglas behaupte Piketty (288ff.), dass die Substitutionselastizität</w:t>
      </w:r>
      <w:r w:rsidR="0075413F">
        <w:rPr>
          <w:rFonts w:ascii="Times New Roman" w:hAnsi="Times New Roman" w:cs="Times New Roman"/>
          <w:sz w:val="24"/>
          <w:szCs w:val="24"/>
        </w:rPr>
        <w:t xml:space="preserve"> dauerhaft</w:t>
      </w:r>
      <w:r>
        <w:rPr>
          <w:rFonts w:ascii="Times New Roman" w:hAnsi="Times New Roman" w:cs="Times New Roman"/>
          <w:sz w:val="24"/>
          <w:szCs w:val="24"/>
        </w:rPr>
        <w:t xml:space="preserve"> über 1 liegen kann. </w:t>
      </w:r>
      <w:r w:rsidR="00536D26">
        <w:rPr>
          <w:rFonts w:ascii="Times New Roman" w:hAnsi="Times New Roman" w:cs="Times New Roman"/>
          <w:sz w:val="24"/>
          <w:szCs w:val="24"/>
        </w:rPr>
        <w:t xml:space="preserve">Piketty </w:t>
      </w:r>
      <w:r w:rsidR="00DD13F2">
        <w:rPr>
          <w:rFonts w:ascii="Times New Roman" w:hAnsi="Times New Roman" w:cs="Times New Roman"/>
          <w:sz w:val="24"/>
          <w:szCs w:val="24"/>
        </w:rPr>
        <w:t xml:space="preserve">nehme </w:t>
      </w:r>
      <w:r w:rsidR="00207810">
        <w:rPr>
          <w:rFonts w:ascii="Times New Roman" w:hAnsi="Times New Roman" w:cs="Times New Roman"/>
          <w:sz w:val="24"/>
          <w:szCs w:val="24"/>
        </w:rPr>
        <w:t>für das 21. Jahrhundert</w:t>
      </w:r>
      <w:r>
        <w:rPr>
          <w:rFonts w:ascii="Times New Roman" w:hAnsi="Times New Roman" w:cs="Times New Roman"/>
          <w:sz w:val="24"/>
          <w:szCs w:val="24"/>
        </w:rPr>
        <w:t xml:space="preserve"> anhand historischer Daten</w:t>
      </w:r>
      <w:r w:rsidR="00207810">
        <w:rPr>
          <w:rFonts w:ascii="Times New Roman" w:hAnsi="Times New Roman" w:cs="Times New Roman"/>
          <w:sz w:val="24"/>
          <w:szCs w:val="24"/>
        </w:rPr>
        <w:t xml:space="preserve"> – vor dem Hintergrund immer neuer Produktionstechnologien –</w:t>
      </w:r>
      <w:r w:rsidR="00DD13F2">
        <w:rPr>
          <w:rFonts w:ascii="Times New Roman" w:hAnsi="Times New Roman" w:cs="Times New Roman"/>
          <w:sz w:val="24"/>
          <w:szCs w:val="24"/>
        </w:rPr>
        <w:t xml:space="preserve"> eine Substitutionselastizität von </w:t>
      </w:r>
      <w:r>
        <w:rPr>
          <w:rFonts w:ascii="Times New Roman" w:hAnsi="Times New Roman" w:cs="Times New Roman"/>
          <w:sz w:val="24"/>
          <w:szCs w:val="24"/>
        </w:rPr>
        <w:t>1,3 bis 1,6</w:t>
      </w:r>
      <w:r w:rsidR="00DD13F2">
        <w:rPr>
          <w:rFonts w:ascii="Times New Roman" w:hAnsi="Times New Roman" w:cs="Times New Roman"/>
          <w:sz w:val="24"/>
          <w:szCs w:val="24"/>
        </w:rPr>
        <w:t xml:space="preserve"> </w:t>
      </w:r>
      <w:r w:rsidR="00207810">
        <w:rPr>
          <w:rFonts w:ascii="Times New Roman" w:hAnsi="Times New Roman" w:cs="Times New Roman"/>
          <w:sz w:val="24"/>
          <w:szCs w:val="24"/>
        </w:rPr>
        <w:t>an (293ff.). D.h. die Minderung der Grenzproduktivität des fortlaufend angehäuften Kapitals werde so zumindest abgebremst und angesichts des bereits erreichten hohen KEV</w:t>
      </w:r>
      <w:r>
        <w:rPr>
          <w:rFonts w:ascii="Times New Roman" w:hAnsi="Times New Roman" w:cs="Times New Roman"/>
          <w:sz w:val="24"/>
          <w:szCs w:val="24"/>
        </w:rPr>
        <w:t xml:space="preserve"> sogar</w:t>
      </w:r>
      <w:r w:rsidR="00207810">
        <w:rPr>
          <w:rFonts w:ascii="Times New Roman" w:hAnsi="Times New Roman" w:cs="Times New Roman"/>
          <w:sz w:val="24"/>
          <w:szCs w:val="24"/>
        </w:rPr>
        <w:t xml:space="preserve"> ein steigender Kapitalanteil </w:t>
      </w:r>
      <w:r w:rsidR="00207810" w:rsidRPr="006D1FD7">
        <w:rPr>
          <w:rFonts w:ascii="Times New Roman" w:hAnsi="Times New Roman" w:cs="Times New Roman"/>
          <w:sz w:val="24"/>
          <w:szCs w:val="24"/>
        </w:rPr>
        <w:t>α</w:t>
      </w:r>
      <w:r w:rsidR="00207810">
        <w:rPr>
          <w:rFonts w:ascii="Times New Roman" w:hAnsi="Times New Roman" w:cs="Times New Roman"/>
          <w:sz w:val="24"/>
          <w:szCs w:val="24"/>
        </w:rPr>
        <w:t xml:space="preserve"> am Nationaleinkommen erreicht. </w:t>
      </w:r>
      <w:r>
        <w:rPr>
          <w:rFonts w:ascii="Times New Roman" w:hAnsi="Times New Roman" w:cs="Times New Roman"/>
          <w:sz w:val="24"/>
          <w:szCs w:val="24"/>
        </w:rPr>
        <w:t>E</w:t>
      </w:r>
      <w:r w:rsidR="00207810">
        <w:rPr>
          <w:rFonts w:ascii="Times New Roman" w:hAnsi="Times New Roman" w:cs="Times New Roman"/>
          <w:sz w:val="24"/>
          <w:szCs w:val="24"/>
        </w:rPr>
        <w:t>ine entsprechend der leicht sinkenden Grenzproduktivität leicht sinkende Kapitalrendite könne diese</w:t>
      </w:r>
      <w:r>
        <w:rPr>
          <w:rFonts w:ascii="Times New Roman" w:hAnsi="Times New Roman" w:cs="Times New Roman"/>
          <w:sz w:val="24"/>
          <w:szCs w:val="24"/>
        </w:rPr>
        <w:t>n</w:t>
      </w:r>
      <w:r w:rsidR="00207810">
        <w:rPr>
          <w:rFonts w:ascii="Times New Roman" w:hAnsi="Times New Roman" w:cs="Times New Roman"/>
          <w:sz w:val="24"/>
          <w:szCs w:val="24"/>
        </w:rPr>
        <w:t xml:space="preserve"> Prozess nicht außer Kraft setzen.</w:t>
      </w:r>
    </w:p>
    <w:p w:rsidR="002B1CFC" w:rsidRDefault="002B1CFC" w:rsidP="00E74F94">
      <w:pPr>
        <w:spacing w:after="0" w:line="240" w:lineRule="auto"/>
        <w:contextualSpacing/>
        <w:jc w:val="both"/>
        <w:rPr>
          <w:rFonts w:ascii="Times New Roman" w:hAnsi="Times New Roman" w:cs="Times New Roman"/>
          <w:sz w:val="24"/>
          <w:szCs w:val="24"/>
        </w:rPr>
      </w:pPr>
    </w:p>
    <w:p w:rsidR="002B1CFC" w:rsidRPr="0009382F" w:rsidRDefault="002B1CFC" w:rsidP="002B1CFC">
      <w:pPr>
        <w:spacing w:after="0" w:line="240" w:lineRule="auto"/>
        <w:contextualSpacing/>
        <w:jc w:val="center"/>
        <w:rPr>
          <w:rFonts w:ascii="Times New Roman" w:hAnsi="Times New Roman" w:cs="Times New Roman"/>
          <w:i/>
          <w:sz w:val="24"/>
          <w:szCs w:val="24"/>
        </w:rPr>
      </w:pPr>
      <w:r w:rsidRPr="0009382F">
        <w:rPr>
          <w:rFonts w:ascii="Times New Roman" w:hAnsi="Times New Roman" w:cs="Times New Roman"/>
          <w:i/>
          <w:sz w:val="24"/>
          <w:szCs w:val="24"/>
        </w:rPr>
        <w:t xml:space="preserve">b) </w:t>
      </w:r>
      <w:r w:rsidR="002309AD">
        <w:rPr>
          <w:rFonts w:ascii="Times New Roman" w:hAnsi="Times New Roman" w:cs="Times New Roman"/>
          <w:i/>
          <w:sz w:val="24"/>
          <w:szCs w:val="24"/>
        </w:rPr>
        <w:t>T</w:t>
      </w:r>
      <w:r w:rsidRPr="0009382F">
        <w:rPr>
          <w:rFonts w:ascii="Times New Roman" w:hAnsi="Times New Roman" w:cs="Times New Roman"/>
          <w:i/>
          <w:sz w:val="24"/>
          <w:szCs w:val="24"/>
        </w:rPr>
        <w:t>endenziell fallende Lohnquote</w:t>
      </w:r>
      <w:r w:rsidR="00593091">
        <w:rPr>
          <w:rFonts w:ascii="Times New Roman" w:hAnsi="Times New Roman" w:cs="Times New Roman"/>
          <w:i/>
          <w:sz w:val="24"/>
          <w:szCs w:val="24"/>
        </w:rPr>
        <w:t>?</w:t>
      </w:r>
    </w:p>
    <w:p w:rsidR="00182875" w:rsidRDefault="00182875" w:rsidP="00182875">
      <w:pPr>
        <w:spacing w:after="0" w:line="240" w:lineRule="auto"/>
        <w:contextualSpacing/>
        <w:jc w:val="both"/>
        <w:rPr>
          <w:rFonts w:ascii="Times New Roman" w:hAnsi="Times New Roman" w:cs="Times New Roman"/>
          <w:sz w:val="24"/>
          <w:szCs w:val="24"/>
        </w:rPr>
      </w:pPr>
    </w:p>
    <w:p w:rsidR="00182875" w:rsidRDefault="00182875" w:rsidP="001828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EC1CEA">
        <w:rPr>
          <w:rFonts w:ascii="Times New Roman" w:hAnsi="Times New Roman" w:cs="Times New Roman"/>
          <w:sz w:val="24"/>
          <w:szCs w:val="24"/>
        </w:rPr>
        <w:t>Es muss auf jeden Fall betont werden, dass kein wirtschaftlicher Autokorrektur-Mechanismus von selbst verhindert, dass ein anhaltender Anstieg des Kapital-Einkommens-Verhältnisses β mit einer kontinuierlichen Erhöhung des Anteils des Kapitals am Nationaleinkommen α einhergeht.“</w:t>
      </w:r>
      <w:r>
        <w:rPr>
          <w:rFonts w:ascii="Times New Roman" w:hAnsi="Times New Roman" w:cs="Times New Roman"/>
          <w:sz w:val="24"/>
          <w:szCs w:val="24"/>
        </w:rPr>
        <w:t xml:space="preserve"> (</w:t>
      </w:r>
      <w:r w:rsidR="00770E39">
        <w:rPr>
          <w:rFonts w:ascii="Times New Roman" w:hAnsi="Times New Roman" w:cs="Times New Roman"/>
          <w:sz w:val="24"/>
          <w:szCs w:val="24"/>
        </w:rPr>
        <w:t xml:space="preserve">Piketty </w:t>
      </w:r>
      <w:r>
        <w:rPr>
          <w:rFonts w:ascii="Times New Roman" w:hAnsi="Times New Roman" w:cs="Times New Roman"/>
          <w:sz w:val="24"/>
          <w:szCs w:val="24"/>
        </w:rPr>
        <w:t>295)</w:t>
      </w:r>
    </w:p>
    <w:p w:rsidR="002B1CFC" w:rsidRDefault="002B1CFC" w:rsidP="002B1CFC">
      <w:pPr>
        <w:spacing w:after="0" w:line="240" w:lineRule="auto"/>
        <w:contextualSpacing/>
        <w:jc w:val="center"/>
        <w:rPr>
          <w:rFonts w:ascii="Times New Roman" w:hAnsi="Times New Roman" w:cs="Times New Roman"/>
          <w:sz w:val="24"/>
          <w:szCs w:val="24"/>
        </w:rPr>
      </w:pPr>
    </w:p>
    <w:p w:rsidR="002B1CFC" w:rsidRDefault="00900B44"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Es wird gefragt, ob denn Piketty mit der</w:t>
      </w:r>
      <w:r w:rsidR="003653FD">
        <w:rPr>
          <w:rFonts w:ascii="Times New Roman" w:hAnsi="Times New Roman" w:cs="Times New Roman"/>
          <w:sz w:val="24"/>
          <w:szCs w:val="24"/>
        </w:rPr>
        <w:t xml:space="preserve"> am technologischen Fortschritt ausgerichteten</w:t>
      </w:r>
      <w:r>
        <w:rPr>
          <w:rFonts w:ascii="Times New Roman" w:hAnsi="Times New Roman" w:cs="Times New Roman"/>
          <w:sz w:val="24"/>
          <w:szCs w:val="24"/>
        </w:rPr>
        <w:t xml:space="preserve"> Substitutionselastizität</w:t>
      </w:r>
      <w:r w:rsidR="003653FD">
        <w:rPr>
          <w:rFonts w:ascii="Times New Roman" w:hAnsi="Times New Roman" w:cs="Times New Roman"/>
          <w:sz w:val="24"/>
          <w:szCs w:val="24"/>
        </w:rPr>
        <w:t xml:space="preserve"> von über 1</w:t>
      </w:r>
      <w:r w:rsidR="00A1379B">
        <w:rPr>
          <w:rFonts w:ascii="Times New Roman" w:hAnsi="Times New Roman" w:cs="Times New Roman"/>
          <w:sz w:val="24"/>
          <w:szCs w:val="24"/>
        </w:rPr>
        <w:t xml:space="preserve"> </w:t>
      </w:r>
      <w:r>
        <w:rPr>
          <w:rFonts w:ascii="Times New Roman" w:hAnsi="Times New Roman" w:cs="Times New Roman"/>
          <w:sz w:val="24"/>
          <w:szCs w:val="24"/>
        </w:rPr>
        <w:t>nicht das „Gesetz der fallenden Lohnquote“ von Karl Rodbertus</w:t>
      </w:r>
      <w:r w:rsidR="00E76C72">
        <w:rPr>
          <w:rFonts w:ascii="Times New Roman" w:hAnsi="Times New Roman" w:cs="Times New Roman"/>
          <w:sz w:val="24"/>
          <w:szCs w:val="24"/>
        </w:rPr>
        <w:t xml:space="preserve"> </w:t>
      </w:r>
      <w:r>
        <w:rPr>
          <w:rFonts w:ascii="Times New Roman" w:hAnsi="Times New Roman" w:cs="Times New Roman"/>
          <w:sz w:val="24"/>
          <w:szCs w:val="24"/>
        </w:rPr>
        <w:t>andeute.</w:t>
      </w:r>
      <w:r w:rsidR="00E76C72">
        <w:rPr>
          <w:rFonts w:ascii="Times New Roman" w:hAnsi="Times New Roman" w:cs="Times New Roman"/>
          <w:sz w:val="24"/>
          <w:szCs w:val="24"/>
        </w:rPr>
        <w:t xml:space="preserve"> Das</w:t>
      </w:r>
      <w:r w:rsidR="00E76C72" w:rsidRPr="00E76C72">
        <w:rPr>
          <w:rFonts w:ascii="Times New Roman" w:hAnsi="Times New Roman" w:cs="Times New Roman"/>
          <w:sz w:val="24"/>
          <w:szCs w:val="24"/>
        </w:rPr>
        <w:t xml:space="preserve"> Gesetz besag</w:t>
      </w:r>
      <w:r w:rsidR="00A1379B">
        <w:rPr>
          <w:rFonts w:ascii="Times New Roman" w:hAnsi="Times New Roman" w:cs="Times New Roman"/>
          <w:sz w:val="24"/>
          <w:szCs w:val="24"/>
        </w:rPr>
        <w:t>t</w:t>
      </w:r>
      <w:r w:rsidR="00E76C72">
        <w:rPr>
          <w:rFonts w:ascii="Times New Roman" w:hAnsi="Times New Roman" w:cs="Times New Roman"/>
          <w:sz w:val="24"/>
          <w:szCs w:val="24"/>
        </w:rPr>
        <w:t xml:space="preserve"> nach Rodbertus</w:t>
      </w:r>
      <w:r w:rsidR="00E76C72" w:rsidRPr="00E76C72">
        <w:rPr>
          <w:rFonts w:ascii="Times New Roman" w:hAnsi="Times New Roman" w:cs="Times New Roman"/>
          <w:sz w:val="24"/>
          <w:szCs w:val="24"/>
        </w:rPr>
        <w:t>, „daß in der heutigen staatswirthschaftlichen</w:t>
      </w:r>
      <w:r w:rsidR="00E76C72">
        <w:rPr>
          <w:rFonts w:ascii="Times New Roman" w:hAnsi="Times New Roman" w:cs="Times New Roman"/>
          <w:sz w:val="24"/>
          <w:szCs w:val="24"/>
        </w:rPr>
        <w:t xml:space="preserve"> </w:t>
      </w:r>
      <w:r w:rsidR="00E76C72" w:rsidRPr="00E76C72">
        <w:rPr>
          <w:rFonts w:ascii="Times New Roman" w:hAnsi="Times New Roman" w:cs="Times New Roman"/>
          <w:sz w:val="24"/>
          <w:szCs w:val="24"/>
        </w:rPr>
        <w:t>Organisation bei der steigenden Produktivität der Arbeit der Lohn der arbeitenden Klassen</w:t>
      </w:r>
      <w:r w:rsidR="00E76C72">
        <w:rPr>
          <w:rFonts w:ascii="Times New Roman" w:hAnsi="Times New Roman" w:cs="Times New Roman"/>
          <w:sz w:val="24"/>
          <w:szCs w:val="24"/>
        </w:rPr>
        <w:t xml:space="preserve"> </w:t>
      </w:r>
      <w:r w:rsidR="00E76C72" w:rsidRPr="00E76C72">
        <w:rPr>
          <w:rFonts w:ascii="Times New Roman" w:hAnsi="Times New Roman" w:cs="Times New Roman"/>
          <w:sz w:val="24"/>
          <w:szCs w:val="24"/>
        </w:rPr>
        <w:t>eine immer kleinere Quote des Nationalprodukts wird“</w:t>
      </w:r>
      <w:r w:rsidR="00E76C72">
        <w:rPr>
          <w:rFonts w:ascii="Times New Roman" w:hAnsi="Times New Roman" w:cs="Times New Roman"/>
          <w:sz w:val="24"/>
          <w:szCs w:val="24"/>
        </w:rPr>
        <w:t xml:space="preserve"> (1850)</w:t>
      </w:r>
      <w:r w:rsidR="00E76C72" w:rsidRPr="00E76C72">
        <w:rPr>
          <w:rFonts w:ascii="Times New Roman" w:hAnsi="Times New Roman" w:cs="Times New Roman"/>
          <w:sz w:val="24"/>
          <w:szCs w:val="24"/>
        </w:rPr>
        <w:t>.</w:t>
      </w:r>
    </w:p>
    <w:p w:rsidR="002309AD" w:rsidRDefault="002309AD" w:rsidP="00E76C72">
      <w:pPr>
        <w:spacing w:after="0" w:line="240" w:lineRule="auto"/>
        <w:contextualSpacing/>
        <w:jc w:val="both"/>
        <w:rPr>
          <w:rFonts w:ascii="Times New Roman" w:hAnsi="Times New Roman" w:cs="Times New Roman"/>
          <w:sz w:val="24"/>
          <w:szCs w:val="24"/>
        </w:rPr>
      </w:pPr>
    </w:p>
    <w:p w:rsidR="002309AD" w:rsidRDefault="002309AD"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 wird erwidert, dass eine solche </w:t>
      </w:r>
      <w:r w:rsidR="00771CEB">
        <w:rPr>
          <w:rFonts w:ascii="Times New Roman" w:hAnsi="Times New Roman" w:cs="Times New Roman"/>
          <w:sz w:val="24"/>
          <w:szCs w:val="24"/>
        </w:rPr>
        <w:t>tendenzielle</w:t>
      </w:r>
      <w:r>
        <w:rPr>
          <w:rFonts w:ascii="Times New Roman" w:hAnsi="Times New Roman" w:cs="Times New Roman"/>
          <w:sz w:val="24"/>
          <w:szCs w:val="24"/>
        </w:rPr>
        <w:t xml:space="preserve"> Entwicklung empirisch nicht belegbar sei und auch von Pikettys Daten nicht gestützt werde. Es sei freilich möglich, dass eine grundlegende Kraft in der Einkommensverteilung vorwalte, jedoch von anderen (historisch auftretenden) Kräften</w:t>
      </w:r>
      <w:r w:rsidR="0029103C">
        <w:rPr>
          <w:rFonts w:ascii="Times New Roman" w:hAnsi="Times New Roman" w:cs="Times New Roman"/>
          <w:sz w:val="24"/>
          <w:szCs w:val="24"/>
        </w:rPr>
        <w:t xml:space="preserve"> (Kriege, sozialstaatliche Organisation etc.)</w:t>
      </w:r>
      <w:r>
        <w:rPr>
          <w:rFonts w:ascii="Times New Roman" w:hAnsi="Times New Roman" w:cs="Times New Roman"/>
          <w:sz w:val="24"/>
          <w:szCs w:val="24"/>
        </w:rPr>
        <w:t xml:space="preserve"> überlagert und damit gewissermaßen empirisch unsichtbar gemacht werden könne. So wie die Gravitationskraft durch andere Kräfte überlagert werden könne, könne also auch die Tendenz der fallenden Lohnquote überlagert werden.</w:t>
      </w:r>
      <w:r w:rsidR="00CE1DE4">
        <w:rPr>
          <w:rFonts w:ascii="Times New Roman" w:hAnsi="Times New Roman" w:cs="Times New Roman"/>
          <w:sz w:val="24"/>
          <w:szCs w:val="24"/>
        </w:rPr>
        <w:t xml:space="preserve"> Die Frage, ob Piketty eine solche andeutet, bleibt </w:t>
      </w:r>
      <w:r w:rsidR="00941EB8">
        <w:rPr>
          <w:rFonts w:ascii="Times New Roman" w:hAnsi="Times New Roman" w:cs="Times New Roman"/>
          <w:sz w:val="24"/>
          <w:szCs w:val="24"/>
        </w:rPr>
        <w:t xml:space="preserve">zunächst </w:t>
      </w:r>
      <w:r w:rsidR="00CE1DE4">
        <w:rPr>
          <w:rFonts w:ascii="Times New Roman" w:hAnsi="Times New Roman" w:cs="Times New Roman"/>
          <w:sz w:val="24"/>
          <w:szCs w:val="24"/>
        </w:rPr>
        <w:t>offen.</w:t>
      </w:r>
    </w:p>
    <w:p w:rsidR="000445B1" w:rsidRDefault="000445B1" w:rsidP="00E76C72">
      <w:pPr>
        <w:spacing w:after="0" w:line="240" w:lineRule="auto"/>
        <w:contextualSpacing/>
        <w:jc w:val="both"/>
        <w:rPr>
          <w:rFonts w:ascii="Times New Roman" w:hAnsi="Times New Roman" w:cs="Times New Roman"/>
          <w:sz w:val="24"/>
          <w:szCs w:val="24"/>
        </w:rPr>
      </w:pPr>
    </w:p>
    <w:p w:rsidR="000445B1" w:rsidRDefault="000445B1" w:rsidP="00E76C72">
      <w:pPr>
        <w:spacing w:after="0" w:line="240" w:lineRule="auto"/>
        <w:contextualSpacing/>
        <w:jc w:val="both"/>
        <w:rPr>
          <w:rFonts w:ascii="Times New Roman" w:hAnsi="Times New Roman" w:cs="Times New Roman"/>
          <w:sz w:val="24"/>
          <w:szCs w:val="24"/>
        </w:rPr>
      </w:pPr>
      <w:r w:rsidRPr="00A01B16">
        <w:rPr>
          <w:rFonts w:ascii="Times New Roman" w:hAnsi="Times New Roman" w:cs="Times New Roman"/>
          <w:i/>
          <w:sz w:val="24"/>
          <w:szCs w:val="24"/>
        </w:rPr>
        <w:t>Nachtrag (ES v. 29.05.2015):</w:t>
      </w:r>
      <w:r>
        <w:rPr>
          <w:rFonts w:ascii="Times New Roman" w:hAnsi="Times New Roman" w:cs="Times New Roman"/>
          <w:sz w:val="24"/>
          <w:szCs w:val="24"/>
        </w:rPr>
        <w:t xml:space="preserve"> Die Diskussion um die Lohnquote sollte mit einer präzisen Begriffsklärung einhergehen. Zu unterscheiden seien Lohnquote, Lohnsumme und Lohnsatz. </w:t>
      </w:r>
    </w:p>
    <w:p w:rsidR="000445B1" w:rsidRDefault="000445B1" w:rsidP="00E76C72">
      <w:pPr>
        <w:spacing w:after="0" w:line="240" w:lineRule="auto"/>
        <w:contextualSpacing/>
        <w:jc w:val="both"/>
        <w:rPr>
          <w:rFonts w:ascii="Times New Roman" w:hAnsi="Times New Roman" w:cs="Times New Roman"/>
          <w:sz w:val="24"/>
          <w:szCs w:val="24"/>
        </w:rPr>
      </w:pPr>
    </w:p>
    <w:p w:rsidR="000445B1" w:rsidRDefault="000445B1"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Lohnquote laut Volkswirtschaftlicher Gesamtrechnung (VGR) ist der Anteil der Arbeitseinkommen (in Abgrenzung zum Kapitaleinkommen) am Nationaleinkommen. Strittiger Punkt hier ist die Zusammensetzung des Arbeitseinkommens bzw. die Definition des Arbeitseinkommens – gehören „Supermanager“-Gehälter in Gänze zum Arbeitseinkommen (Piketty)?</w:t>
      </w:r>
    </w:p>
    <w:p w:rsidR="000445B1" w:rsidRDefault="000445B1" w:rsidP="00E76C72">
      <w:pPr>
        <w:spacing w:after="0" w:line="240" w:lineRule="auto"/>
        <w:contextualSpacing/>
        <w:jc w:val="both"/>
        <w:rPr>
          <w:rFonts w:ascii="Times New Roman" w:hAnsi="Times New Roman" w:cs="Times New Roman"/>
          <w:sz w:val="24"/>
          <w:szCs w:val="24"/>
        </w:rPr>
      </w:pPr>
    </w:p>
    <w:p w:rsidR="00A01B16" w:rsidRDefault="000445B1"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Lohnsumme ist der Betrag</w:t>
      </w:r>
      <w:r w:rsidR="00A01B16">
        <w:rPr>
          <w:rFonts w:ascii="Times New Roman" w:hAnsi="Times New Roman" w:cs="Times New Roman"/>
          <w:sz w:val="24"/>
          <w:szCs w:val="24"/>
        </w:rPr>
        <w:t xml:space="preserve"> aller innerhalb einer Periode gezahlten Einzellöhne, d.h. der Einkommen aus Arbeitnehmerverhältnissen.</w:t>
      </w:r>
      <w:r w:rsidR="00EE26C6">
        <w:rPr>
          <w:rFonts w:ascii="Times New Roman" w:hAnsi="Times New Roman" w:cs="Times New Roman"/>
          <w:sz w:val="24"/>
          <w:szCs w:val="24"/>
        </w:rPr>
        <w:t xml:space="preserve"> Der Bezug zur fallenden Lohnquote:</w:t>
      </w:r>
      <w:r w:rsidR="003F039D">
        <w:rPr>
          <w:rFonts w:ascii="Times New Roman" w:hAnsi="Times New Roman" w:cs="Times New Roman"/>
          <w:sz w:val="24"/>
          <w:szCs w:val="24"/>
        </w:rPr>
        <w:t xml:space="preserve"> Die Lohnsumme </w:t>
      </w:r>
      <w:r w:rsidR="00EE26C6">
        <w:rPr>
          <w:rFonts w:ascii="Times New Roman" w:hAnsi="Times New Roman" w:cs="Times New Roman"/>
          <w:sz w:val="24"/>
          <w:szCs w:val="24"/>
        </w:rPr>
        <w:t>könne steigen, während</w:t>
      </w:r>
      <w:r w:rsidR="003F039D">
        <w:rPr>
          <w:rFonts w:ascii="Times New Roman" w:hAnsi="Times New Roman" w:cs="Times New Roman"/>
          <w:sz w:val="24"/>
          <w:szCs w:val="24"/>
        </w:rPr>
        <w:t xml:space="preserve"> die Lohnquote sink</w:t>
      </w:r>
      <w:r w:rsidR="00EE26C6">
        <w:rPr>
          <w:rFonts w:ascii="Times New Roman" w:hAnsi="Times New Roman" w:cs="Times New Roman"/>
          <w:sz w:val="24"/>
          <w:szCs w:val="24"/>
        </w:rPr>
        <w:t>e, d.h. die Lohnsumme</w:t>
      </w:r>
      <w:r w:rsidR="009E39F1">
        <w:rPr>
          <w:rFonts w:ascii="Times New Roman" w:hAnsi="Times New Roman" w:cs="Times New Roman"/>
          <w:sz w:val="24"/>
          <w:szCs w:val="24"/>
        </w:rPr>
        <w:t xml:space="preserve"> nehme weniger stark zu als das Nationaleinkommen</w:t>
      </w:r>
      <w:r w:rsidR="003F039D">
        <w:rPr>
          <w:rFonts w:ascii="Times New Roman" w:hAnsi="Times New Roman" w:cs="Times New Roman"/>
          <w:sz w:val="24"/>
          <w:szCs w:val="24"/>
        </w:rPr>
        <w:t>.</w:t>
      </w:r>
    </w:p>
    <w:p w:rsidR="00A01B16" w:rsidRDefault="00A01B16" w:rsidP="00E76C72">
      <w:pPr>
        <w:spacing w:after="0" w:line="240" w:lineRule="auto"/>
        <w:contextualSpacing/>
        <w:jc w:val="both"/>
        <w:rPr>
          <w:rFonts w:ascii="Times New Roman" w:hAnsi="Times New Roman" w:cs="Times New Roman"/>
          <w:sz w:val="24"/>
          <w:szCs w:val="24"/>
        </w:rPr>
      </w:pPr>
    </w:p>
    <w:p w:rsidR="000445B1" w:rsidRDefault="009E39F1"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Der Lohnsatz ist das durchschnittliche Arbeitnehmereinkommen pro Kopf. Der Bezug zur fallenden Lohnquote: Der Lohnsatz könne fallen oder steigen, die Kopfzahl der Arbeitnehmer </w:t>
      </w:r>
      <w:r>
        <w:rPr>
          <w:rFonts w:ascii="Times New Roman" w:hAnsi="Times New Roman" w:cs="Times New Roman"/>
          <w:sz w:val="24"/>
          <w:szCs w:val="24"/>
        </w:rPr>
        <w:lastRenderedPageBreak/>
        <w:t xml:space="preserve">könne steigen oder fallen – eine direkte Auswirkung auf die Tendenz der Lohnquote sei vor diesem Hintergrund nicht </w:t>
      </w:r>
      <w:r w:rsidR="00695DA1">
        <w:rPr>
          <w:rFonts w:ascii="Times New Roman" w:hAnsi="Times New Roman" w:cs="Times New Roman"/>
          <w:sz w:val="24"/>
          <w:szCs w:val="24"/>
        </w:rPr>
        <w:t>feststellbar</w:t>
      </w:r>
      <w:r>
        <w:rPr>
          <w:rFonts w:ascii="Times New Roman" w:hAnsi="Times New Roman" w:cs="Times New Roman"/>
          <w:sz w:val="24"/>
          <w:szCs w:val="24"/>
        </w:rPr>
        <w:t>.</w:t>
      </w:r>
      <w:r w:rsidR="000445B1">
        <w:rPr>
          <w:rFonts w:ascii="Times New Roman" w:hAnsi="Times New Roman" w:cs="Times New Roman"/>
          <w:sz w:val="24"/>
          <w:szCs w:val="24"/>
        </w:rPr>
        <w:t xml:space="preserve"> </w:t>
      </w:r>
    </w:p>
    <w:p w:rsidR="00DF51B9" w:rsidRDefault="00DF51B9" w:rsidP="00E76C72">
      <w:pPr>
        <w:spacing w:after="0" w:line="240" w:lineRule="auto"/>
        <w:contextualSpacing/>
        <w:jc w:val="both"/>
        <w:rPr>
          <w:rFonts w:ascii="Times New Roman" w:hAnsi="Times New Roman" w:cs="Times New Roman"/>
          <w:sz w:val="24"/>
          <w:szCs w:val="24"/>
        </w:rPr>
      </w:pPr>
    </w:p>
    <w:p w:rsidR="00A609A1" w:rsidRDefault="00A609A1"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Das Thema soll später noch einmal aufgriffen werden.</w:t>
      </w:r>
    </w:p>
    <w:p w:rsidR="00A609A1" w:rsidRDefault="00A609A1" w:rsidP="00E76C72">
      <w:pPr>
        <w:spacing w:after="0" w:line="240" w:lineRule="auto"/>
        <w:contextualSpacing/>
        <w:jc w:val="both"/>
        <w:rPr>
          <w:rFonts w:ascii="Times New Roman" w:hAnsi="Times New Roman" w:cs="Times New Roman"/>
          <w:sz w:val="24"/>
          <w:szCs w:val="24"/>
        </w:rPr>
      </w:pPr>
    </w:p>
    <w:p w:rsidR="002309AD" w:rsidRDefault="00DF51B9" w:rsidP="00DF51B9">
      <w:pPr>
        <w:spacing w:after="0"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 xml:space="preserve">c) </w:t>
      </w:r>
      <w:r w:rsidR="00B637C1">
        <w:rPr>
          <w:rFonts w:ascii="Times New Roman" w:hAnsi="Times New Roman" w:cs="Times New Roman"/>
          <w:i/>
          <w:sz w:val="24"/>
          <w:szCs w:val="24"/>
        </w:rPr>
        <w:t>Historische</w:t>
      </w:r>
      <w:r>
        <w:rPr>
          <w:rFonts w:ascii="Times New Roman" w:hAnsi="Times New Roman" w:cs="Times New Roman"/>
          <w:i/>
          <w:sz w:val="24"/>
          <w:szCs w:val="24"/>
        </w:rPr>
        <w:t xml:space="preserve"> und sozialökonomische Fragen der Einkommensanteile</w:t>
      </w:r>
    </w:p>
    <w:p w:rsidR="00DF51B9" w:rsidRDefault="00DF51B9" w:rsidP="00E76C72">
      <w:pPr>
        <w:spacing w:after="0" w:line="240" w:lineRule="auto"/>
        <w:contextualSpacing/>
        <w:jc w:val="both"/>
        <w:rPr>
          <w:rFonts w:ascii="Times New Roman" w:hAnsi="Times New Roman" w:cs="Times New Roman"/>
          <w:sz w:val="24"/>
          <w:szCs w:val="24"/>
        </w:rPr>
      </w:pPr>
    </w:p>
    <w:p w:rsidR="0029103C" w:rsidRDefault="002309AD"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Diskussion streift politisch-historische Fragen der gesellschaftlichen Machtfrage und der sozialen Organisation.</w:t>
      </w:r>
      <w:r w:rsidR="0029103C">
        <w:rPr>
          <w:rFonts w:ascii="Times New Roman" w:hAnsi="Times New Roman" w:cs="Times New Roman"/>
          <w:sz w:val="24"/>
          <w:szCs w:val="24"/>
        </w:rPr>
        <w:t xml:space="preserve"> Piketty zeige keine generelle Entwicklung der fallenden Lohnquote, daher müsse man sich auf bestimmte historische Abschnitte beschränken, in denen die Empirie eine solche Entwicklung zeige. Das Aufkommen des „Neoliberalismus“ seit 1970 wird zum Gegenstand gemacht. Diese habe doch gezeigt, dass eine kapitalfreundliche Wirtschaftspolitik des möglichst freien Marktes</w:t>
      </w:r>
      <w:r w:rsidR="00025462">
        <w:rPr>
          <w:rFonts w:ascii="Times New Roman" w:hAnsi="Times New Roman" w:cs="Times New Roman"/>
          <w:sz w:val="24"/>
          <w:szCs w:val="24"/>
        </w:rPr>
        <w:t xml:space="preserve"> („Naturzustand“)</w:t>
      </w:r>
      <w:r w:rsidR="0029103C">
        <w:rPr>
          <w:rFonts w:ascii="Times New Roman" w:hAnsi="Times New Roman" w:cs="Times New Roman"/>
          <w:sz w:val="24"/>
          <w:szCs w:val="24"/>
        </w:rPr>
        <w:t xml:space="preserve"> unmittelbar eine Verwirklichung der Tendenz der fallenden Lohnquote g</w:t>
      </w:r>
      <w:r w:rsidR="004661C1">
        <w:rPr>
          <w:rFonts w:ascii="Times New Roman" w:hAnsi="Times New Roman" w:cs="Times New Roman"/>
          <w:sz w:val="24"/>
          <w:szCs w:val="24"/>
        </w:rPr>
        <w:t>ezeigt habe (294). Das bestätig</w:t>
      </w:r>
      <w:r w:rsidR="0029103C">
        <w:rPr>
          <w:rFonts w:ascii="Times New Roman" w:hAnsi="Times New Roman" w:cs="Times New Roman"/>
          <w:sz w:val="24"/>
          <w:szCs w:val="24"/>
        </w:rPr>
        <w:t xml:space="preserve">e Rodbertus insoweit, als dass auch dieser 1850 von einer historisch-politisch bedingten „staatswirthschaftlichen Organisation“ ausging, um die </w:t>
      </w:r>
      <w:r w:rsidR="009B0758">
        <w:rPr>
          <w:rFonts w:ascii="Times New Roman" w:hAnsi="Times New Roman" w:cs="Times New Roman"/>
          <w:sz w:val="24"/>
          <w:szCs w:val="24"/>
        </w:rPr>
        <w:t>bedingte Sichtbarkeit</w:t>
      </w:r>
      <w:r w:rsidR="0029103C">
        <w:rPr>
          <w:rFonts w:ascii="Times New Roman" w:hAnsi="Times New Roman" w:cs="Times New Roman"/>
          <w:sz w:val="24"/>
          <w:szCs w:val="24"/>
        </w:rPr>
        <w:t xml:space="preserve"> seiner Lohnquotentendenz </w:t>
      </w:r>
      <w:r w:rsidR="009B0758">
        <w:rPr>
          <w:rFonts w:ascii="Times New Roman" w:hAnsi="Times New Roman" w:cs="Times New Roman"/>
          <w:sz w:val="24"/>
          <w:szCs w:val="24"/>
        </w:rPr>
        <w:t>einzuräumen</w:t>
      </w:r>
      <w:r w:rsidR="0029103C">
        <w:rPr>
          <w:rFonts w:ascii="Times New Roman" w:hAnsi="Times New Roman" w:cs="Times New Roman"/>
          <w:sz w:val="24"/>
          <w:szCs w:val="24"/>
        </w:rPr>
        <w:t>.</w:t>
      </w:r>
    </w:p>
    <w:p w:rsidR="0029103C" w:rsidRDefault="0029103C" w:rsidP="00E76C72">
      <w:pPr>
        <w:spacing w:after="0" w:line="240" w:lineRule="auto"/>
        <w:contextualSpacing/>
        <w:jc w:val="both"/>
        <w:rPr>
          <w:rFonts w:ascii="Times New Roman" w:hAnsi="Times New Roman" w:cs="Times New Roman"/>
          <w:sz w:val="24"/>
          <w:szCs w:val="24"/>
        </w:rPr>
      </w:pPr>
    </w:p>
    <w:p w:rsidR="008529F2" w:rsidRDefault="0029103C"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Der Einwurf, Piketty betone in Kapitel 7 die moderne Entstehung des Mittelstandes und relativiere damit den</w:t>
      </w:r>
      <w:r w:rsidR="008529F2">
        <w:rPr>
          <w:rFonts w:ascii="Times New Roman" w:hAnsi="Times New Roman" w:cs="Times New Roman"/>
          <w:sz w:val="24"/>
          <w:szCs w:val="24"/>
        </w:rPr>
        <w:t xml:space="preserve"> heutigen</w:t>
      </w:r>
      <w:r>
        <w:rPr>
          <w:rFonts w:ascii="Times New Roman" w:hAnsi="Times New Roman" w:cs="Times New Roman"/>
          <w:sz w:val="24"/>
          <w:szCs w:val="24"/>
        </w:rPr>
        <w:t xml:space="preserve"> Grad der Ungleichheit mit Hinblick auf das 19. Jahrhundert, stößt auf breite Zustimmung. </w:t>
      </w:r>
      <w:r w:rsidR="008529F2">
        <w:rPr>
          <w:rFonts w:ascii="Times New Roman" w:hAnsi="Times New Roman" w:cs="Times New Roman"/>
          <w:sz w:val="24"/>
          <w:szCs w:val="24"/>
        </w:rPr>
        <w:t xml:space="preserve">Sehr wohl aber unterschätze Piketty die </w:t>
      </w:r>
      <w:r w:rsidR="002D1A64">
        <w:rPr>
          <w:rFonts w:ascii="Times New Roman" w:hAnsi="Times New Roman" w:cs="Times New Roman"/>
          <w:sz w:val="24"/>
          <w:szCs w:val="24"/>
        </w:rPr>
        <w:t>Dimension</w:t>
      </w:r>
      <w:r w:rsidR="008529F2">
        <w:rPr>
          <w:rFonts w:ascii="Times New Roman" w:hAnsi="Times New Roman" w:cs="Times New Roman"/>
          <w:sz w:val="24"/>
          <w:szCs w:val="24"/>
        </w:rPr>
        <w:t xml:space="preserve"> der funktionalen Verteilung zwischen Kapital und Arbeit (Kapital-Arbeit-Verhältnis KAV) als Machtfrage. Ausschlaggebend sei</w:t>
      </w:r>
      <w:r w:rsidR="00785406">
        <w:rPr>
          <w:rFonts w:ascii="Times New Roman" w:hAnsi="Times New Roman" w:cs="Times New Roman"/>
          <w:sz w:val="24"/>
          <w:szCs w:val="24"/>
        </w:rPr>
        <w:t>en</w:t>
      </w:r>
      <w:r w:rsidR="008529F2">
        <w:rPr>
          <w:rFonts w:ascii="Times New Roman" w:hAnsi="Times New Roman" w:cs="Times New Roman"/>
          <w:sz w:val="24"/>
          <w:szCs w:val="24"/>
        </w:rPr>
        <w:t xml:space="preserve"> demnach für die Entwicklung von </w:t>
      </w:r>
      <w:r w:rsidR="008529F2" w:rsidRPr="00EC1CEA">
        <w:rPr>
          <w:rFonts w:ascii="Times New Roman" w:hAnsi="Times New Roman" w:cs="Times New Roman"/>
          <w:sz w:val="24"/>
          <w:szCs w:val="24"/>
        </w:rPr>
        <w:t>α</w:t>
      </w:r>
      <w:r w:rsidR="008529F2">
        <w:rPr>
          <w:rFonts w:ascii="Times New Roman" w:hAnsi="Times New Roman" w:cs="Times New Roman"/>
          <w:sz w:val="24"/>
          <w:szCs w:val="24"/>
        </w:rPr>
        <w:t xml:space="preserve"> die Verhandlungsmacht der Arbeit und politische Regulierungen. Da zeige Piketty </w:t>
      </w:r>
      <w:r w:rsidR="00540320">
        <w:rPr>
          <w:rFonts w:ascii="Times New Roman" w:hAnsi="Times New Roman" w:cs="Times New Roman"/>
          <w:sz w:val="24"/>
          <w:szCs w:val="24"/>
        </w:rPr>
        <w:t>wiederholt</w:t>
      </w:r>
      <w:r w:rsidR="008529F2">
        <w:rPr>
          <w:rFonts w:ascii="Times New Roman" w:hAnsi="Times New Roman" w:cs="Times New Roman"/>
          <w:sz w:val="24"/>
          <w:szCs w:val="24"/>
        </w:rPr>
        <w:t>, in welchem Ausmaß er letztlich von</w:t>
      </w:r>
      <w:r w:rsidR="00675771">
        <w:rPr>
          <w:rFonts w:ascii="Times New Roman" w:hAnsi="Times New Roman" w:cs="Times New Roman"/>
          <w:sz w:val="24"/>
          <w:szCs w:val="24"/>
        </w:rPr>
        <w:t xml:space="preserve"> den „technischen“</w:t>
      </w:r>
      <w:r w:rsidR="008529F2">
        <w:rPr>
          <w:rFonts w:ascii="Times New Roman" w:hAnsi="Times New Roman" w:cs="Times New Roman"/>
          <w:sz w:val="24"/>
          <w:szCs w:val="24"/>
        </w:rPr>
        <w:t xml:space="preserve"> </w:t>
      </w:r>
      <w:r w:rsidR="00675771">
        <w:rPr>
          <w:rFonts w:ascii="Times New Roman" w:hAnsi="Times New Roman" w:cs="Times New Roman"/>
          <w:sz w:val="24"/>
          <w:szCs w:val="24"/>
        </w:rPr>
        <w:t xml:space="preserve">Bestimmungen </w:t>
      </w:r>
      <w:r w:rsidR="008529F2">
        <w:rPr>
          <w:rFonts w:ascii="Times New Roman" w:hAnsi="Times New Roman" w:cs="Times New Roman"/>
          <w:sz w:val="24"/>
          <w:szCs w:val="24"/>
        </w:rPr>
        <w:t>Cobb-Douglas</w:t>
      </w:r>
      <w:r w:rsidR="003C4353">
        <w:rPr>
          <w:rFonts w:ascii="Times New Roman" w:hAnsi="Times New Roman" w:cs="Times New Roman"/>
          <w:sz w:val="24"/>
          <w:szCs w:val="24"/>
        </w:rPr>
        <w:t>‘</w:t>
      </w:r>
      <w:r w:rsidR="008529F2">
        <w:rPr>
          <w:rFonts w:ascii="Times New Roman" w:hAnsi="Times New Roman" w:cs="Times New Roman"/>
          <w:sz w:val="24"/>
          <w:szCs w:val="24"/>
        </w:rPr>
        <w:t xml:space="preserve"> zehre, was er in großen Teilen seines Buches zu verschleiern suche.</w:t>
      </w:r>
    </w:p>
    <w:p w:rsidR="00087D21" w:rsidRDefault="00087D21" w:rsidP="008529F2">
      <w:pPr>
        <w:spacing w:after="0" w:line="240" w:lineRule="auto"/>
        <w:contextualSpacing/>
        <w:jc w:val="both"/>
        <w:rPr>
          <w:rFonts w:ascii="Times New Roman" w:hAnsi="Times New Roman" w:cs="Times New Roman"/>
          <w:sz w:val="24"/>
          <w:szCs w:val="24"/>
        </w:rPr>
      </w:pPr>
    </w:p>
    <w:p w:rsidR="00087D21" w:rsidRPr="00087D21" w:rsidRDefault="00087D21" w:rsidP="00087D21">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d) Kapital-Arbeit-Verhältnis nicht als „technische“ Funktion, sondern als </w:t>
      </w:r>
      <w:r w:rsidR="000F6411">
        <w:rPr>
          <w:rFonts w:ascii="Times New Roman" w:hAnsi="Times New Roman" w:cs="Times New Roman"/>
          <w:i/>
          <w:sz w:val="24"/>
          <w:szCs w:val="24"/>
        </w:rPr>
        <w:t xml:space="preserve">soziales </w:t>
      </w:r>
      <w:r>
        <w:rPr>
          <w:rFonts w:ascii="Times New Roman" w:hAnsi="Times New Roman" w:cs="Times New Roman"/>
          <w:i/>
          <w:sz w:val="24"/>
          <w:szCs w:val="24"/>
        </w:rPr>
        <w:t>Kräfteverhältnis</w:t>
      </w:r>
    </w:p>
    <w:p w:rsidR="008529F2" w:rsidRDefault="008529F2" w:rsidP="008529F2">
      <w:pPr>
        <w:spacing w:after="0" w:line="240" w:lineRule="auto"/>
        <w:contextualSpacing/>
        <w:jc w:val="both"/>
        <w:rPr>
          <w:rFonts w:ascii="Times New Roman" w:hAnsi="Times New Roman" w:cs="Times New Roman"/>
          <w:sz w:val="24"/>
          <w:szCs w:val="24"/>
        </w:rPr>
      </w:pPr>
    </w:p>
    <w:p w:rsidR="008529F2" w:rsidRDefault="008529F2"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Mit der großen Bedeutung der Machtfrage sei aber doch nun nicht in erster Linie auf die „technische“ Funktionalität des KAV, sondern auf das KAV als „gesellschaftliches Kräfteverhältnis“ verwiesen. Überlasse man „Wirtschaft“ dem vorherrschenden Kräfteverhältnis, letztlich also dem „</w:t>
      </w:r>
      <w:r w:rsidR="002F382A">
        <w:rPr>
          <w:rFonts w:ascii="Times New Roman" w:hAnsi="Times New Roman" w:cs="Times New Roman"/>
          <w:sz w:val="24"/>
          <w:szCs w:val="24"/>
        </w:rPr>
        <w:t xml:space="preserve">natürlichen </w:t>
      </w:r>
      <w:r>
        <w:rPr>
          <w:rFonts w:ascii="Times New Roman" w:hAnsi="Times New Roman" w:cs="Times New Roman"/>
          <w:sz w:val="24"/>
          <w:szCs w:val="24"/>
        </w:rPr>
        <w:t>Recht des Stärken“ in Form der Macht der Kapitalbesitzer des Piketty’schen „obersten Dezils“</w:t>
      </w:r>
      <w:r w:rsidR="00552994">
        <w:rPr>
          <w:rFonts w:ascii="Times New Roman" w:hAnsi="Times New Roman" w:cs="Times New Roman"/>
          <w:sz w:val="24"/>
          <w:szCs w:val="24"/>
        </w:rPr>
        <w:t xml:space="preserve"> (abhängig von der</w:t>
      </w:r>
      <w:r w:rsidR="004661C1">
        <w:rPr>
          <w:rFonts w:ascii="Times New Roman" w:hAnsi="Times New Roman" w:cs="Times New Roman"/>
          <w:sz w:val="24"/>
          <w:szCs w:val="24"/>
        </w:rPr>
        <w:t xml:space="preserve"> historischen</w:t>
      </w:r>
      <w:r w:rsidR="00552994">
        <w:rPr>
          <w:rFonts w:ascii="Times New Roman" w:hAnsi="Times New Roman" w:cs="Times New Roman"/>
          <w:sz w:val="24"/>
          <w:szCs w:val="24"/>
        </w:rPr>
        <w:t xml:space="preserve"> Höhe des KEV und der Eigentumskonzentration des Kapitalstocks), dann werde die tendenziell fallenende Lohnquote als grundlegende Kraft einer solcher Wirtschaftsorganisation doch offenbar.</w:t>
      </w:r>
    </w:p>
    <w:p w:rsidR="004661C1" w:rsidRDefault="004661C1" w:rsidP="008529F2">
      <w:pPr>
        <w:spacing w:after="0" w:line="240" w:lineRule="auto"/>
        <w:contextualSpacing/>
        <w:jc w:val="both"/>
        <w:rPr>
          <w:rFonts w:ascii="Times New Roman" w:hAnsi="Times New Roman" w:cs="Times New Roman"/>
          <w:sz w:val="24"/>
          <w:szCs w:val="24"/>
        </w:rPr>
      </w:pPr>
    </w:p>
    <w:p w:rsidR="00D22B5C" w:rsidRDefault="004661C1"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Piketty </w:t>
      </w:r>
      <w:r w:rsidR="0068320D">
        <w:rPr>
          <w:rFonts w:ascii="Times New Roman" w:hAnsi="Times New Roman" w:cs="Times New Roman"/>
          <w:sz w:val="24"/>
          <w:szCs w:val="24"/>
        </w:rPr>
        <w:t>diskutiere</w:t>
      </w:r>
      <w:r>
        <w:rPr>
          <w:rFonts w:ascii="Times New Roman" w:hAnsi="Times New Roman" w:cs="Times New Roman"/>
          <w:sz w:val="24"/>
          <w:szCs w:val="24"/>
        </w:rPr>
        <w:t xml:space="preserve"> zwar </w:t>
      </w:r>
      <w:r w:rsidR="0068320D">
        <w:rPr>
          <w:rFonts w:ascii="Times New Roman" w:hAnsi="Times New Roman" w:cs="Times New Roman"/>
          <w:sz w:val="24"/>
          <w:szCs w:val="24"/>
        </w:rPr>
        <w:t xml:space="preserve">nicht </w:t>
      </w:r>
      <w:r>
        <w:rPr>
          <w:rFonts w:ascii="Times New Roman" w:hAnsi="Times New Roman" w:cs="Times New Roman"/>
          <w:sz w:val="24"/>
          <w:szCs w:val="24"/>
        </w:rPr>
        <w:t>die Machtfrage, jedoch zeige er in seinen Prognosen für das 21. Jahrhundert, dass eine Entwicklung im Sinne der fallenden Lohnquote durchaus möglich ist. Auch er mache es zur Bedingung</w:t>
      </w:r>
      <w:r w:rsidR="0068320D">
        <w:rPr>
          <w:rFonts w:ascii="Times New Roman" w:hAnsi="Times New Roman" w:cs="Times New Roman"/>
          <w:sz w:val="24"/>
          <w:szCs w:val="24"/>
        </w:rPr>
        <w:t xml:space="preserve"> der fallenden Lohnquote</w:t>
      </w:r>
      <w:r>
        <w:rPr>
          <w:rFonts w:ascii="Times New Roman" w:hAnsi="Times New Roman" w:cs="Times New Roman"/>
          <w:sz w:val="24"/>
          <w:szCs w:val="24"/>
        </w:rPr>
        <w:t>, in</w:t>
      </w:r>
      <w:r w:rsidR="0068320D">
        <w:rPr>
          <w:rFonts w:ascii="Times New Roman" w:hAnsi="Times New Roman" w:cs="Times New Roman"/>
          <w:sz w:val="24"/>
          <w:szCs w:val="24"/>
        </w:rPr>
        <w:t xml:space="preserve">wieweit politische Regulierung </w:t>
      </w:r>
      <w:r>
        <w:rPr>
          <w:rFonts w:ascii="Times New Roman" w:hAnsi="Times New Roman" w:cs="Times New Roman"/>
          <w:sz w:val="24"/>
          <w:szCs w:val="24"/>
        </w:rPr>
        <w:t xml:space="preserve"> dieser</w:t>
      </w:r>
      <w:r w:rsidR="0068320D">
        <w:rPr>
          <w:rFonts w:ascii="Times New Roman" w:hAnsi="Times New Roman" w:cs="Times New Roman"/>
          <w:sz w:val="24"/>
          <w:szCs w:val="24"/>
        </w:rPr>
        <w:t xml:space="preserve"> „automatischen“</w:t>
      </w:r>
      <w:r>
        <w:rPr>
          <w:rFonts w:ascii="Times New Roman" w:hAnsi="Times New Roman" w:cs="Times New Roman"/>
          <w:sz w:val="24"/>
          <w:szCs w:val="24"/>
        </w:rPr>
        <w:t xml:space="preserve"> Entwicklung Einhalt gebieten könne. Bei Piketty schein</w:t>
      </w:r>
      <w:r w:rsidR="00DE50E5">
        <w:rPr>
          <w:rFonts w:ascii="Times New Roman" w:hAnsi="Times New Roman" w:cs="Times New Roman"/>
          <w:sz w:val="24"/>
          <w:szCs w:val="24"/>
        </w:rPr>
        <w:t>e</w:t>
      </w:r>
      <w:r>
        <w:rPr>
          <w:rFonts w:ascii="Times New Roman" w:hAnsi="Times New Roman" w:cs="Times New Roman"/>
          <w:sz w:val="24"/>
          <w:szCs w:val="24"/>
        </w:rPr>
        <w:t xml:space="preserve"> es ohne gesellschaftlich-politische Gegenkräfte zu einer Verschärfung</w:t>
      </w:r>
      <w:r w:rsidR="00391796">
        <w:rPr>
          <w:rFonts w:ascii="Times New Roman" w:hAnsi="Times New Roman" w:cs="Times New Roman"/>
          <w:sz w:val="24"/>
          <w:szCs w:val="24"/>
        </w:rPr>
        <w:t xml:space="preserve"> der Wirkungen</w:t>
      </w:r>
      <w:r>
        <w:rPr>
          <w:rFonts w:ascii="Times New Roman" w:hAnsi="Times New Roman" w:cs="Times New Roman"/>
          <w:sz w:val="24"/>
          <w:szCs w:val="24"/>
        </w:rPr>
        <w:t xml:space="preserve"> des festgestellten „Mechanismus“ r &gt; g </w:t>
      </w:r>
      <w:r w:rsidR="00BE7E8D">
        <w:rPr>
          <w:rFonts w:ascii="Times New Roman" w:hAnsi="Times New Roman" w:cs="Times New Roman"/>
          <w:sz w:val="24"/>
          <w:szCs w:val="24"/>
        </w:rPr>
        <w:t>zu kommen. Eine Diskussion über den Umstand</w:t>
      </w:r>
      <w:r>
        <w:rPr>
          <w:rFonts w:ascii="Times New Roman" w:hAnsi="Times New Roman" w:cs="Times New Roman"/>
          <w:sz w:val="24"/>
          <w:szCs w:val="24"/>
        </w:rPr>
        <w:t>, dass er offenbar auf neoklassi</w:t>
      </w:r>
      <w:r w:rsidR="00BE7E8D">
        <w:rPr>
          <w:rFonts w:ascii="Times New Roman" w:hAnsi="Times New Roman" w:cs="Times New Roman"/>
          <w:sz w:val="24"/>
          <w:szCs w:val="24"/>
        </w:rPr>
        <w:t>s</w:t>
      </w:r>
      <w:r>
        <w:rPr>
          <w:rFonts w:ascii="Times New Roman" w:hAnsi="Times New Roman" w:cs="Times New Roman"/>
          <w:sz w:val="24"/>
          <w:szCs w:val="24"/>
        </w:rPr>
        <w:t xml:space="preserve">ch </w:t>
      </w:r>
      <w:r w:rsidR="0068320D">
        <w:rPr>
          <w:rFonts w:ascii="Times New Roman" w:hAnsi="Times New Roman" w:cs="Times New Roman"/>
          <w:sz w:val="24"/>
          <w:szCs w:val="24"/>
        </w:rPr>
        <w:t>geebneten</w:t>
      </w:r>
      <w:r>
        <w:rPr>
          <w:rFonts w:ascii="Times New Roman" w:hAnsi="Times New Roman" w:cs="Times New Roman"/>
          <w:sz w:val="24"/>
          <w:szCs w:val="24"/>
        </w:rPr>
        <w:t xml:space="preserve"> Wegen zu diesen Vorhersagen kommt</w:t>
      </w:r>
      <w:r w:rsidR="00414366">
        <w:rPr>
          <w:rFonts w:ascii="Times New Roman" w:hAnsi="Times New Roman" w:cs="Times New Roman"/>
          <w:sz w:val="24"/>
          <w:szCs w:val="24"/>
        </w:rPr>
        <w:t xml:space="preserve"> – anders </w:t>
      </w:r>
      <w:r>
        <w:rPr>
          <w:rFonts w:ascii="Times New Roman" w:hAnsi="Times New Roman" w:cs="Times New Roman"/>
          <w:sz w:val="24"/>
          <w:szCs w:val="24"/>
        </w:rPr>
        <w:t>als der Arbeitswerttheoretiker Rodbertus</w:t>
      </w:r>
      <w:r w:rsidR="00414366">
        <w:rPr>
          <w:rFonts w:ascii="Times New Roman" w:hAnsi="Times New Roman" w:cs="Times New Roman"/>
          <w:sz w:val="24"/>
          <w:szCs w:val="24"/>
        </w:rPr>
        <w:t xml:space="preserve"> – wird vertagt.</w:t>
      </w:r>
    </w:p>
    <w:p w:rsidR="00D22B5C" w:rsidRDefault="00D22B5C" w:rsidP="008529F2">
      <w:pPr>
        <w:spacing w:after="0" w:line="240" w:lineRule="auto"/>
        <w:contextualSpacing/>
        <w:jc w:val="both"/>
        <w:rPr>
          <w:rFonts w:ascii="Times New Roman" w:hAnsi="Times New Roman" w:cs="Times New Roman"/>
          <w:sz w:val="24"/>
          <w:szCs w:val="24"/>
        </w:rPr>
      </w:pPr>
    </w:p>
    <w:p w:rsidR="004661C1" w:rsidRPr="000C5BAB" w:rsidRDefault="00F24BD0" w:rsidP="000C5BAB">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e</w:t>
      </w:r>
      <w:r w:rsidR="00C10D41">
        <w:rPr>
          <w:rFonts w:ascii="Times New Roman" w:hAnsi="Times New Roman" w:cs="Times New Roman"/>
          <w:i/>
          <w:sz w:val="24"/>
          <w:szCs w:val="24"/>
        </w:rPr>
        <w:t>) Grenzproduktivität des Kapitals und Kapitalrendite</w:t>
      </w:r>
    </w:p>
    <w:p w:rsidR="00C10D41" w:rsidRDefault="00C10D41" w:rsidP="008529F2">
      <w:pPr>
        <w:spacing w:after="0" w:line="240" w:lineRule="auto"/>
        <w:contextualSpacing/>
        <w:jc w:val="both"/>
        <w:rPr>
          <w:rFonts w:ascii="Times New Roman" w:hAnsi="Times New Roman" w:cs="Times New Roman"/>
          <w:sz w:val="24"/>
          <w:szCs w:val="24"/>
        </w:rPr>
      </w:pPr>
    </w:p>
    <w:p w:rsidR="00C04527" w:rsidRDefault="00475A77"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Die</w:t>
      </w:r>
      <w:r w:rsidR="00C04527">
        <w:rPr>
          <w:rFonts w:ascii="Times New Roman" w:hAnsi="Times New Roman" w:cs="Times New Roman"/>
          <w:sz w:val="24"/>
          <w:szCs w:val="24"/>
        </w:rPr>
        <w:t xml:space="preserve"> Definition der Kapitalrendite von Piketty</w:t>
      </w:r>
      <w:r>
        <w:rPr>
          <w:rFonts w:ascii="Times New Roman" w:hAnsi="Times New Roman" w:cs="Times New Roman"/>
          <w:sz w:val="24"/>
          <w:szCs w:val="24"/>
        </w:rPr>
        <w:t xml:space="preserve"> wird</w:t>
      </w:r>
      <w:r w:rsidR="00C04527">
        <w:rPr>
          <w:rFonts w:ascii="Times New Roman" w:hAnsi="Times New Roman" w:cs="Times New Roman"/>
          <w:sz w:val="24"/>
          <w:szCs w:val="24"/>
        </w:rPr>
        <w:t xml:space="preserve"> diskutiert.</w:t>
      </w:r>
      <w:r w:rsidR="00687937">
        <w:rPr>
          <w:rFonts w:ascii="Times New Roman" w:hAnsi="Times New Roman" w:cs="Times New Roman"/>
          <w:sz w:val="24"/>
          <w:szCs w:val="24"/>
        </w:rPr>
        <w:t xml:space="preserve"> Vor einer </w:t>
      </w:r>
      <w:r w:rsidR="00DA4AAE">
        <w:rPr>
          <w:rFonts w:ascii="Times New Roman" w:hAnsi="Times New Roman" w:cs="Times New Roman"/>
          <w:sz w:val="24"/>
          <w:szCs w:val="24"/>
        </w:rPr>
        <w:t>vorbehaltlosen</w:t>
      </w:r>
      <w:r w:rsidR="00687937">
        <w:rPr>
          <w:rFonts w:ascii="Times New Roman" w:hAnsi="Times New Roman" w:cs="Times New Roman"/>
          <w:sz w:val="24"/>
          <w:szCs w:val="24"/>
        </w:rPr>
        <w:t xml:space="preserve"> Verknüpfung von Grenzproduktivität des Kapital</w:t>
      </w:r>
      <w:r w:rsidR="00DA4AAE">
        <w:rPr>
          <w:rFonts w:ascii="Times New Roman" w:hAnsi="Times New Roman" w:cs="Times New Roman"/>
          <w:sz w:val="24"/>
          <w:szCs w:val="24"/>
        </w:rPr>
        <w:t>s</w:t>
      </w:r>
      <w:r w:rsidR="00687937">
        <w:rPr>
          <w:rFonts w:ascii="Times New Roman" w:hAnsi="Times New Roman" w:cs="Times New Roman"/>
          <w:sz w:val="24"/>
          <w:szCs w:val="24"/>
        </w:rPr>
        <w:t xml:space="preserve"> und Kapitalrendite schrecke Piketty zurück. </w:t>
      </w:r>
      <w:r w:rsidR="00C04527">
        <w:rPr>
          <w:rFonts w:ascii="Times New Roman" w:hAnsi="Times New Roman" w:cs="Times New Roman"/>
          <w:sz w:val="24"/>
          <w:szCs w:val="24"/>
        </w:rPr>
        <w:t>Seine Konstruktion der „reinen Kapitalrendite“, nach der er glaubt, von der „durchschnittlichen Kapitalrendite“ die Kosten der Kapitalverwaltungstätigkeit als eine Art Unternehmerlohn abziehen zu müssen</w:t>
      </w:r>
      <w:r w:rsidR="00633F69">
        <w:rPr>
          <w:rFonts w:ascii="Times New Roman" w:hAnsi="Times New Roman" w:cs="Times New Roman"/>
          <w:sz w:val="24"/>
          <w:szCs w:val="24"/>
        </w:rPr>
        <w:t>,</w:t>
      </w:r>
      <w:r w:rsidR="00C04527">
        <w:rPr>
          <w:rFonts w:ascii="Times New Roman" w:hAnsi="Times New Roman" w:cs="Times New Roman"/>
          <w:sz w:val="24"/>
          <w:szCs w:val="24"/>
        </w:rPr>
        <w:t xml:space="preserve"> trifft auf Kritik. Pikettys Ausspruch „zu viel Kapital tötet das Kapital“ sei als überflüssige Dramatisierung zu betrachten. Ein Absinken von Renditen nach dem Prinzip der Grenzproduktivität sei angesichts des erreichten absoluten Reichtums nicht als bedrohlich einzustufen.</w:t>
      </w:r>
    </w:p>
    <w:p w:rsidR="00C04527" w:rsidRDefault="00C04527" w:rsidP="008529F2">
      <w:pPr>
        <w:spacing w:after="0" w:line="240" w:lineRule="auto"/>
        <w:contextualSpacing/>
        <w:jc w:val="both"/>
        <w:rPr>
          <w:rFonts w:ascii="Times New Roman" w:hAnsi="Times New Roman" w:cs="Times New Roman"/>
          <w:sz w:val="24"/>
          <w:szCs w:val="24"/>
        </w:rPr>
      </w:pPr>
    </w:p>
    <w:p w:rsidR="002539B7" w:rsidRDefault="002300A7"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Dagegen wird ins Feld geführt, dass die Aussicht auf </w:t>
      </w:r>
      <w:r w:rsidR="000A2426">
        <w:rPr>
          <w:rFonts w:ascii="Times New Roman" w:hAnsi="Times New Roman" w:cs="Times New Roman"/>
          <w:sz w:val="24"/>
          <w:szCs w:val="24"/>
        </w:rPr>
        <w:t>hinreichend hohe</w:t>
      </w:r>
      <w:r w:rsidR="002539B7">
        <w:rPr>
          <w:rFonts w:ascii="Times New Roman" w:hAnsi="Times New Roman" w:cs="Times New Roman"/>
          <w:sz w:val="24"/>
          <w:szCs w:val="24"/>
        </w:rPr>
        <w:t xml:space="preserve"> </w:t>
      </w:r>
      <w:r>
        <w:rPr>
          <w:rFonts w:ascii="Times New Roman" w:hAnsi="Times New Roman" w:cs="Times New Roman"/>
          <w:sz w:val="24"/>
          <w:szCs w:val="24"/>
        </w:rPr>
        <w:t xml:space="preserve">Rendite </w:t>
      </w:r>
      <w:r w:rsidR="002539B7">
        <w:rPr>
          <w:rFonts w:ascii="Times New Roman" w:hAnsi="Times New Roman" w:cs="Times New Roman"/>
          <w:sz w:val="24"/>
          <w:szCs w:val="24"/>
        </w:rPr>
        <w:t>im herrschenden Wirtschaftssystem aber den Fortgang der Produktion bestimme.</w:t>
      </w:r>
      <w:r w:rsidR="00C04527">
        <w:rPr>
          <w:rFonts w:ascii="Times New Roman" w:hAnsi="Times New Roman" w:cs="Times New Roman"/>
          <w:sz w:val="24"/>
          <w:szCs w:val="24"/>
        </w:rPr>
        <w:t xml:space="preserve"> </w:t>
      </w:r>
      <w:r w:rsidR="002539B7">
        <w:rPr>
          <w:rFonts w:ascii="Times New Roman" w:hAnsi="Times New Roman" w:cs="Times New Roman"/>
          <w:sz w:val="24"/>
          <w:szCs w:val="24"/>
        </w:rPr>
        <w:t>Letztlich müsse man einen absoluten und einen relativen Begriff der Grenzproduktivität unterscheiden. Ein absoluter Begrif</w:t>
      </w:r>
      <w:r w:rsidR="00656C81">
        <w:rPr>
          <w:rFonts w:ascii="Times New Roman" w:hAnsi="Times New Roman" w:cs="Times New Roman"/>
          <w:sz w:val="24"/>
          <w:szCs w:val="24"/>
        </w:rPr>
        <w:t xml:space="preserve">f richte sich an dem Nutzen </w:t>
      </w:r>
      <w:r w:rsidR="002539B7">
        <w:rPr>
          <w:rFonts w:ascii="Times New Roman" w:hAnsi="Times New Roman" w:cs="Times New Roman"/>
          <w:sz w:val="24"/>
          <w:szCs w:val="24"/>
        </w:rPr>
        <w:t xml:space="preserve">des Kapitaleinsatzes </w:t>
      </w:r>
      <w:r w:rsidR="00656C81">
        <w:rPr>
          <w:rFonts w:ascii="Times New Roman" w:hAnsi="Times New Roman" w:cs="Times New Roman"/>
          <w:sz w:val="24"/>
          <w:szCs w:val="24"/>
        </w:rPr>
        <w:t>für die</w:t>
      </w:r>
      <w:r w:rsidR="002539B7">
        <w:rPr>
          <w:rFonts w:ascii="Times New Roman" w:hAnsi="Times New Roman" w:cs="Times New Roman"/>
          <w:sz w:val="24"/>
          <w:szCs w:val="24"/>
        </w:rPr>
        <w:t xml:space="preserve"> Bedürfnisbefriedigung aus. Auf gesellschaftlicher Ebene könne damit nur das Bedürfnis</w:t>
      </w:r>
      <w:r w:rsidR="00656C81">
        <w:rPr>
          <w:rFonts w:ascii="Times New Roman" w:hAnsi="Times New Roman" w:cs="Times New Roman"/>
          <w:sz w:val="24"/>
          <w:szCs w:val="24"/>
        </w:rPr>
        <w:t xml:space="preserve"> aller </w:t>
      </w:r>
      <w:r w:rsidR="00656C81" w:rsidRPr="00FC31DF">
        <w:rPr>
          <w:rFonts w:ascii="Times New Roman" w:hAnsi="Times New Roman" w:cs="Times New Roman"/>
          <w:i/>
          <w:sz w:val="24"/>
          <w:szCs w:val="24"/>
        </w:rPr>
        <w:t>und</w:t>
      </w:r>
      <w:r w:rsidR="00656C81">
        <w:rPr>
          <w:rFonts w:ascii="Times New Roman" w:hAnsi="Times New Roman" w:cs="Times New Roman"/>
          <w:sz w:val="24"/>
          <w:szCs w:val="24"/>
        </w:rPr>
        <w:t xml:space="preserve"> jedes Einzelnen</w:t>
      </w:r>
      <w:r w:rsidR="002539B7">
        <w:rPr>
          <w:rFonts w:ascii="Times New Roman" w:hAnsi="Times New Roman" w:cs="Times New Roman"/>
          <w:sz w:val="24"/>
          <w:szCs w:val="24"/>
        </w:rPr>
        <w:t xml:space="preserve"> gemeint sein, das angesichts der Ungleichverteilung und relativen Armut noch Raum zur weiteren Kapitalanhäufung und Produktionssteigerung ließe.</w:t>
      </w:r>
    </w:p>
    <w:p w:rsidR="002539B7" w:rsidRDefault="002539B7" w:rsidP="008529F2">
      <w:pPr>
        <w:spacing w:after="0" w:line="240" w:lineRule="auto"/>
        <w:contextualSpacing/>
        <w:jc w:val="both"/>
        <w:rPr>
          <w:rFonts w:ascii="Times New Roman" w:hAnsi="Times New Roman" w:cs="Times New Roman"/>
          <w:sz w:val="24"/>
          <w:szCs w:val="24"/>
        </w:rPr>
      </w:pPr>
    </w:p>
    <w:p w:rsidR="00C10D41" w:rsidRDefault="002539B7"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Der relative Begriff der Grenzproduktivität gehe jedoch im Kern nicht von der Bedürfnisbefriedigung aus</w:t>
      </w:r>
      <w:r w:rsidR="00ED0698">
        <w:rPr>
          <w:rFonts w:ascii="Times New Roman" w:hAnsi="Times New Roman" w:cs="Times New Roman"/>
          <w:sz w:val="24"/>
          <w:szCs w:val="24"/>
        </w:rPr>
        <w:t>.</w:t>
      </w:r>
      <w:r>
        <w:rPr>
          <w:rFonts w:ascii="Times New Roman" w:hAnsi="Times New Roman" w:cs="Times New Roman"/>
          <w:sz w:val="24"/>
          <w:szCs w:val="24"/>
        </w:rPr>
        <w:t xml:space="preserve"> </w:t>
      </w:r>
      <w:r w:rsidR="00ED0698">
        <w:rPr>
          <w:rFonts w:ascii="Times New Roman" w:hAnsi="Times New Roman" w:cs="Times New Roman"/>
          <w:sz w:val="24"/>
          <w:szCs w:val="24"/>
        </w:rPr>
        <w:t>Er gehe dagegen</w:t>
      </w:r>
      <w:r>
        <w:rPr>
          <w:rFonts w:ascii="Times New Roman" w:hAnsi="Times New Roman" w:cs="Times New Roman"/>
          <w:sz w:val="24"/>
          <w:szCs w:val="24"/>
        </w:rPr>
        <w:t xml:space="preserve"> – im heutigen historischen Zustand der Wirtschaftsorganisation – von der Befriedigung der Gewinnerwartungen einzelner</w:t>
      </w:r>
      <w:r w:rsidR="003B665B">
        <w:rPr>
          <w:rFonts w:ascii="Times New Roman" w:hAnsi="Times New Roman" w:cs="Times New Roman"/>
          <w:sz w:val="24"/>
          <w:szCs w:val="24"/>
        </w:rPr>
        <w:t xml:space="preserve"> produktionsbestimmender</w:t>
      </w:r>
      <w:r>
        <w:rPr>
          <w:rFonts w:ascii="Times New Roman" w:hAnsi="Times New Roman" w:cs="Times New Roman"/>
          <w:sz w:val="24"/>
          <w:szCs w:val="24"/>
        </w:rPr>
        <w:t xml:space="preserve"> Kapitalbesitzer (</w:t>
      </w:r>
      <w:r w:rsidR="00ED0698">
        <w:rPr>
          <w:rFonts w:ascii="Times New Roman" w:hAnsi="Times New Roman" w:cs="Times New Roman"/>
          <w:sz w:val="24"/>
          <w:szCs w:val="24"/>
        </w:rPr>
        <w:t xml:space="preserve">Anzahl </w:t>
      </w:r>
      <w:r>
        <w:rPr>
          <w:rFonts w:ascii="Times New Roman" w:hAnsi="Times New Roman" w:cs="Times New Roman"/>
          <w:sz w:val="24"/>
          <w:szCs w:val="24"/>
        </w:rPr>
        <w:t>je nach Konzentration des gesellschaftlichen Kapitalstocks)</w:t>
      </w:r>
      <w:r w:rsidR="00ED0698">
        <w:rPr>
          <w:rFonts w:ascii="Times New Roman" w:hAnsi="Times New Roman" w:cs="Times New Roman"/>
          <w:sz w:val="24"/>
          <w:szCs w:val="24"/>
        </w:rPr>
        <w:t xml:space="preserve"> aus</w:t>
      </w:r>
      <w:r>
        <w:rPr>
          <w:rFonts w:ascii="Times New Roman" w:hAnsi="Times New Roman" w:cs="Times New Roman"/>
          <w:sz w:val="24"/>
          <w:szCs w:val="24"/>
        </w:rPr>
        <w:t>. Vor dem Hintergrund dieser Unterscheidung könne man die Aussage wagen, dass Cobb-Douglas ein aussagefähiges Modell vorrangig zur Beschreibung der relativen Grenzproduktivität und damit eines spezifischen historisch-sozialorganisatorischen Zustandes geliefert haben.</w:t>
      </w:r>
    </w:p>
    <w:p w:rsidR="00B5761B" w:rsidRDefault="00B5761B" w:rsidP="008529F2">
      <w:pPr>
        <w:spacing w:after="0" w:line="240" w:lineRule="auto"/>
        <w:contextualSpacing/>
        <w:jc w:val="both"/>
        <w:rPr>
          <w:rFonts w:ascii="Times New Roman" w:hAnsi="Times New Roman" w:cs="Times New Roman"/>
          <w:sz w:val="24"/>
          <w:szCs w:val="24"/>
        </w:rPr>
      </w:pPr>
    </w:p>
    <w:p w:rsidR="00685249" w:rsidRDefault="00B5761B"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Unternehmen</w:t>
      </w:r>
      <w:r w:rsidR="00E6136E">
        <w:rPr>
          <w:rFonts w:ascii="Times New Roman" w:hAnsi="Times New Roman" w:cs="Times New Roman"/>
          <w:sz w:val="24"/>
          <w:szCs w:val="24"/>
        </w:rPr>
        <w:t xml:space="preserve"> </w:t>
      </w:r>
      <w:r>
        <w:rPr>
          <w:rFonts w:ascii="Times New Roman" w:hAnsi="Times New Roman" w:cs="Times New Roman"/>
          <w:sz w:val="24"/>
          <w:szCs w:val="24"/>
        </w:rPr>
        <w:t>stellten</w:t>
      </w:r>
      <w:r w:rsidR="00D33DCC">
        <w:rPr>
          <w:rFonts w:ascii="Times New Roman" w:hAnsi="Times New Roman" w:cs="Times New Roman"/>
          <w:sz w:val="24"/>
          <w:szCs w:val="24"/>
        </w:rPr>
        <w:t xml:space="preserve"> </w:t>
      </w:r>
      <w:r>
        <w:rPr>
          <w:rFonts w:ascii="Times New Roman" w:hAnsi="Times New Roman" w:cs="Times New Roman"/>
          <w:sz w:val="24"/>
          <w:szCs w:val="24"/>
        </w:rPr>
        <w:t xml:space="preserve">in der </w:t>
      </w:r>
      <w:r w:rsidR="00D33DCC">
        <w:rPr>
          <w:rFonts w:ascii="Times New Roman" w:hAnsi="Times New Roman" w:cs="Times New Roman"/>
          <w:sz w:val="24"/>
          <w:szCs w:val="24"/>
        </w:rPr>
        <w:t>Praxis</w:t>
      </w:r>
      <w:r>
        <w:rPr>
          <w:rFonts w:ascii="Times New Roman" w:hAnsi="Times New Roman" w:cs="Times New Roman"/>
          <w:sz w:val="24"/>
          <w:szCs w:val="24"/>
        </w:rPr>
        <w:t xml:space="preserve"> </w:t>
      </w:r>
      <w:r w:rsidR="00CE5714">
        <w:rPr>
          <w:rFonts w:ascii="Times New Roman" w:hAnsi="Times New Roman" w:cs="Times New Roman"/>
          <w:sz w:val="24"/>
          <w:szCs w:val="24"/>
        </w:rPr>
        <w:t xml:space="preserve">doch </w:t>
      </w:r>
      <w:r>
        <w:rPr>
          <w:rFonts w:ascii="Times New Roman" w:hAnsi="Times New Roman" w:cs="Times New Roman"/>
          <w:sz w:val="24"/>
          <w:szCs w:val="24"/>
        </w:rPr>
        <w:t>keine</w:t>
      </w:r>
      <w:r w:rsidR="0004405C">
        <w:rPr>
          <w:rFonts w:ascii="Times New Roman" w:hAnsi="Times New Roman" w:cs="Times New Roman"/>
          <w:sz w:val="24"/>
          <w:szCs w:val="24"/>
        </w:rPr>
        <w:t xml:space="preserve"> detaillierten</w:t>
      </w:r>
      <w:r>
        <w:rPr>
          <w:rFonts w:ascii="Times New Roman" w:hAnsi="Times New Roman" w:cs="Times New Roman"/>
          <w:sz w:val="24"/>
          <w:szCs w:val="24"/>
        </w:rPr>
        <w:t xml:space="preserve"> </w:t>
      </w:r>
      <w:r w:rsidR="0004405C">
        <w:rPr>
          <w:rFonts w:ascii="Times New Roman" w:hAnsi="Times New Roman" w:cs="Times New Roman"/>
          <w:sz w:val="24"/>
          <w:szCs w:val="24"/>
        </w:rPr>
        <w:t>Berechnungen</w:t>
      </w:r>
      <w:r w:rsidR="00D33DCC">
        <w:rPr>
          <w:rFonts w:ascii="Times New Roman" w:hAnsi="Times New Roman" w:cs="Times New Roman"/>
          <w:sz w:val="24"/>
          <w:szCs w:val="24"/>
        </w:rPr>
        <w:t xml:space="preserve"> über die</w:t>
      </w:r>
      <w:r w:rsidR="0004405C">
        <w:rPr>
          <w:rFonts w:ascii="Times New Roman" w:hAnsi="Times New Roman" w:cs="Times New Roman"/>
          <w:sz w:val="24"/>
          <w:szCs w:val="24"/>
        </w:rPr>
        <w:t xml:space="preserve"> volkswirtschaftlichen</w:t>
      </w:r>
      <w:r w:rsidR="00D33DCC">
        <w:rPr>
          <w:rFonts w:ascii="Times New Roman" w:hAnsi="Times New Roman" w:cs="Times New Roman"/>
          <w:sz w:val="24"/>
          <w:szCs w:val="24"/>
        </w:rPr>
        <w:t xml:space="preserve"> Gewinnerwartungen an. Demzufolge sei die</w:t>
      </w:r>
      <w:r w:rsidR="00E6136E">
        <w:rPr>
          <w:rFonts w:ascii="Times New Roman" w:hAnsi="Times New Roman" w:cs="Times New Roman"/>
          <w:sz w:val="24"/>
          <w:szCs w:val="24"/>
        </w:rPr>
        <w:t>se</w:t>
      </w:r>
      <w:r w:rsidR="00D33DCC">
        <w:rPr>
          <w:rFonts w:ascii="Times New Roman" w:hAnsi="Times New Roman" w:cs="Times New Roman"/>
          <w:sz w:val="24"/>
          <w:szCs w:val="24"/>
        </w:rPr>
        <w:t xml:space="preserve"> Begriffsunterscheidung hinfällig und Cobb-Douglas beschrieben mit ihrer Produktionsfunktion bereits hinreichend die Wirklichkeit.</w:t>
      </w:r>
    </w:p>
    <w:p w:rsidR="00685249" w:rsidRDefault="00685249" w:rsidP="008529F2">
      <w:pPr>
        <w:spacing w:after="0" w:line="240" w:lineRule="auto"/>
        <w:contextualSpacing/>
        <w:jc w:val="both"/>
        <w:rPr>
          <w:rFonts w:ascii="Times New Roman" w:hAnsi="Times New Roman" w:cs="Times New Roman"/>
          <w:sz w:val="24"/>
          <w:szCs w:val="24"/>
        </w:rPr>
      </w:pPr>
    </w:p>
    <w:p w:rsidR="00B5761B" w:rsidRDefault="00D33DCC"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Im Sinne der Historisierung von Formen der Wirtschaftsorganisation wird nach der</w:t>
      </w:r>
      <w:r w:rsidR="000B2891">
        <w:rPr>
          <w:rFonts w:ascii="Times New Roman" w:hAnsi="Times New Roman" w:cs="Times New Roman"/>
          <w:sz w:val="24"/>
          <w:szCs w:val="24"/>
        </w:rPr>
        <w:t xml:space="preserve"> Praxis der</w:t>
      </w:r>
      <w:r>
        <w:rPr>
          <w:rFonts w:ascii="Times New Roman" w:hAnsi="Times New Roman" w:cs="Times New Roman"/>
          <w:sz w:val="24"/>
          <w:szCs w:val="24"/>
        </w:rPr>
        <w:t xml:space="preserve"> Produktionszielsetzung in der Deutschen Demokratischen Republik (DDR) gefragt. Hier sei nach einem planwirtschaftlichen Input/Output-Schema verfahren worden, ein Vorgehen, das offensichtlich gescheitert sei.</w:t>
      </w:r>
    </w:p>
    <w:p w:rsidR="00105D69" w:rsidRDefault="00105D69" w:rsidP="008529F2">
      <w:pPr>
        <w:spacing w:after="0" w:line="240" w:lineRule="auto"/>
        <w:contextualSpacing/>
        <w:jc w:val="both"/>
        <w:rPr>
          <w:rFonts w:ascii="Times New Roman" w:hAnsi="Times New Roman" w:cs="Times New Roman"/>
          <w:sz w:val="24"/>
          <w:szCs w:val="24"/>
        </w:rPr>
      </w:pPr>
    </w:p>
    <w:p w:rsidR="00105D69" w:rsidRDefault="00105D69" w:rsidP="008529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Ausgehend von Pikettys so selbstverständlicher wie</w:t>
      </w:r>
      <w:r w:rsidR="00F97D17">
        <w:rPr>
          <w:rFonts w:ascii="Times New Roman" w:hAnsi="Times New Roman" w:cs="Times New Roman"/>
          <w:sz w:val="24"/>
          <w:szCs w:val="24"/>
        </w:rPr>
        <w:t xml:space="preserve"> zugleich</w:t>
      </w:r>
      <w:r>
        <w:rPr>
          <w:rFonts w:ascii="Times New Roman" w:hAnsi="Times New Roman" w:cs="Times New Roman"/>
          <w:sz w:val="24"/>
          <w:szCs w:val="24"/>
        </w:rPr>
        <w:t xml:space="preserve"> teilweise distanzierter Behandlung der Grenzproduktivität als Erklärungskonzept wirtschaftlicher Zusammenhänge</w:t>
      </w:r>
      <w:r w:rsidR="00CB09CD">
        <w:rPr>
          <w:rFonts w:ascii="Times New Roman" w:hAnsi="Times New Roman" w:cs="Times New Roman"/>
          <w:sz w:val="24"/>
          <w:szCs w:val="24"/>
        </w:rPr>
        <w:t xml:space="preserve"> scheint sich ein Urteil in der Gruppe zu verfestigen: Piketty sage nicht viel Neues, aber dafür formuliert er es</w:t>
      </w:r>
      <w:r w:rsidR="00F97D17">
        <w:rPr>
          <w:rFonts w:ascii="Times New Roman" w:hAnsi="Times New Roman" w:cs="Times New Roman"/>
          <w:sz w:val="24"/>
          <w:szCs w:val="24"/>
        </w:rPr>
        <w:t xml:space="preserve"> gekonnt</w:t>
      </w:r>
      <w:r w:rsidR="00CB09CD">
        <w:rPr>
          <w:rFonts w:ascii="Times New Roman" w:hAnsi="Times New Roman" w:cs="Times New Roman"/>
          <w:sz w:val="24"/>
          <w:szCs w:val="24"/>
        </w:rPr>
        <w:t xml:space="preserve"> so, dass </w:t>
      </w:r>
      <w:r w:rsidR="00150333">
        <w:rPr>
          <w:rFonts w:ascii="Times New Roman" w:hAnsi="Times New Roman" w:cs="Times New Roman"/>
          <w:sz w:val="24"/>
          <w:szCs w:val="24"/>
        </w:rPr>
        <w:t>es</w:t>
      </w:r>
      <w:r w:rsidR="00CB09CD">
        <w:rPr>
          <w:rFonts w:ascii="Times New Roman" w:hAnsi="Times New Roman" w:cs="Times New Roman"/>
          <w:sz w:val="24"/>
          <w:szCs w:val="24"/>
        </w:rPr>
        <w:t xml:space="preserve"> </w:t>
      </w:r>
      <w:r w:rsidR="00104C35">
        <w:rPr>
          <w:rFonts w:ascii="Times New Roman" w:hAnsi="Times New Roman" w:cs="Times New Roman"/>
          <w:sz w:val="24"/>
          <w:szCs w:val="24"/>
        </w:rPr>
        <w:t>ein</w:t>
      </w:r>
      <w:r w:rsidR="00CB09CD">
        <w:rPr>
          <w:rFonts w:ascii="Times New Roman" w:hAnsi="Times New Roman" w:cs="Times New Roman"/>
          <w:sz w:val="24"/>
          <w:szCs w:val="24"/>
        </w:rPr>
        <w:t xml:space="preserve"> Weiterdenken</w:t>
      </w:r>
      <w:r w:rsidR="00104C35">
        <w:rPr>
          <w:rFonts w:ascii="Times New Roman" w:hAnsi="Times New Roman" w:cs="Times New Roman"/>
          <w:sz w:val="24"/>
          <w:szCs w:val="24"/>
        </w:rPr>
        <w:t xml:space="preserve"> anregt und auch ermöglicht</w:t>
      </w:r>
      <w:r w:rsidR="00CB09CD">
        <w:rPr>
          <w:rFonts w:ascii="Times New Roman" w:hAnsi="Times New Roman" w:cs="Times New Roman"/>
          <w:sz w:val="24"/>
          <w:szCs w:val="24"/>
        </w:rPr>
        <w:t xml:space="preserve">.  </w:t>
      </w:r>
    </w:p>
    <w:p w:rsidR="00775CFA" w:rsidRDefault="00775CFA" w:rsidP="008529F2">
      <w:pPr>
        <w:spacing w:after="0" w:line="240" w:lineRule="auto"/>
        <w:contextualSpacing/>
        <w:jc w:val="both"/>
        <w:rPr>
          <w:rFonts w:ascii="Times New Roman" w:hAnsi="Times New Roman" w:cs="Times New Roman"/>
          <w:sz w:val="24"/>
          <w:szCs w:val="24"/>
        </w:rPr>
      </w:pPr>
    </w:p>
    <w:p w:rsidR="00F13DFB" w:rsidRPr="00F13DFB" w:rsidRDefault="00DA5CAC" w:rsidP="00F13DFB">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TOP 3</w:t>
      </w:r>
      <w:r w:rsidR="00F13DFB" w:rsidRPr="00F13DFB">
        <w:rPr>
          <w:rFonts w:ascii="Times New Roman" w:hAnsi="Times New Roman" w:cs="Times New Roman"/>
          <w:sz w:val="24"/>
          <w:szCs w:val="24"/>
          <w:u w:val="single"/>
        </w:rPr>
        <w:t xml:space="preserve"> – </w:t>
      </w:r>
      <w:r w:rsidR="00A144D6">
        <w:rPr>
          <w:rFonts w:ascii="Times New Roman" w:hAnsi="Times New Roman" w:cs="Times New Roman"/>
          <w:sz w:val="24"/>
          <w:szCs w:val="24"/>
          <w:u w:val="single"/>
        </w:rPr>
        <w:t xml:space="preserve">Verlauf des ES und </w:t>
      </w:r>
      <w:r w:rsidR="00F13DFB" w:rsidRPr="00F13DFB">
        <w:rPr>
          <w:rFonts w:ascii="Times New Roman" w:hAnsi="Times New Roman" w:cs="Times New Roman"/>
          <w:sz w:val="24"/>
          <w:szCs w:val="24"/>
          <w:u w:val="single"/>
        </w:rPr>
        <w:t>Vorbereitung der nächsten Sitzung</w:t>
      </w:r>
    </w:p>
    <w:p w:rsidR="00FD266E" w:rsidRDefault="00FD266E" w:rsidP="00D738F2">
      <w:pPr>
        <w:spacing w:after="0" w:line="240" w:lineRule="auto"/>
        <w:contextualSpacing/>
        <w:rPr>
          <w:rFonts w:ascii="Times New Roman" w:hAnsi="Times New Roman" w:cs="Times New Roman"/>
          <w:sz w:val="24"/>
          <w:szCs w:val="24"/>
        </w:rPr>
      </w:pPr>
    </w:p>
    <w:p w:rsidR="00970D79" w:rsidRDefault="00105D69" w:rsidP="00F9712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Die Dozenten befragen die Gruppe, ob angesichts der sinkenden TN-Zahlen und der zurückgehenden Redebeiträge nicht eine gewisse „Ermüdung“ eingetreten sei. </w:t>
      </w:r>
      <w:r w:rsidR="00031506">
        <w:rPr>
          <w:rFonts w:ascii="Times New Roman" w:hAnsi="Times New Roman" w:cs="Times New Roman"/>
          <w:sz w:val="24"/>
          <w:szCs w:val="24"/>
        </w:rPr>
        <w:t xml:space="preserve">Dies sei nicht der Fall. Über das Erwägungsinitial hinaus wird ein Vorschlag zur Lektüre unterbreitet. So sollte das Piketty-„Modell“ des Sozialökonomen Till van Treeck (Uni Duisburg-Essen) in die Erwägung einbezogen werden. Das Modell ist in Form einer Excel-Datei frei verfügbar: </w:t>
      </w:r>
      <w:hyperlink r:id="rId6" w:history="1">
        <w:r w:rsidR="00031506" w:rsidRPr="00EF6442">
          <w:rPr>
            <w:rStyle w:val="Hyperlink"/>
            <w:rFonts w:ascii="Times New Roman" w:hAnsi="Times New Roman" w:cs="Times New Roman"/>
            <w:sz w:val="24"/>
            <w:szCs w:val="24"/>
          </w:rPr>
          <w:t>http://verteilungsfrage.org/2014/07/zur-bedeutung-unterschiedlicher-sparquoten-fuer-piketty/</w:t>
        </w:r>
      </w:hyperlink>
    </w:p>
    <w:p w:rsidR="00970D79" w:rsidRDefault="00970D79" w:rsidP="00F97121">
      <w:pPr>
        <w:spacing w:after="0" w:line="240" w:lineRule="auto"/>
        <w:contextualSpacing/>
        <w:jc w:val="both"/>
        <w:rPr>
          <w:rFonts w:ascii="Times New Roman" w:hAnsi="Times New Roman" w:cs="Times New Roman"/>
          <w:sz w:val="24"/>
          <w:szCs w:val="24"/>
        </w:rPr>
      </w:pPr>
    </w:p>
    <w:p w:rsidR="0029406F" w:rsidRPr="008F3D09" w:rsidRDefault="00970D79" w:rsidP="00F9712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Die Diskussion zur Quelle der 6</w:t>
      </w:r>
      <w:r w:rsidR="00F13DFB">
        <w:rPr>
          <w:rFonts w:ascii="Times New Roman" w:hAnsi="Times New Roman" w:cs="Times New Roman"/>
          <w:sz w:val="24"/>
          <w:szCs w:val="24"/>
        </w:rPr>
        <w:t xml:space="preserve">. Sitzung wird als abgeschlossen betrachtet. Bis zur nächsten Sitzung </w:t>
      </w:r>
      <w:r>
        <w:rPr>
          <w:rFonts w:ascii="Times New Roman" w:hAnsi="Times New Roman" w:cs="Times New Roman"/>
          <w:sz w:val="24"/>
          <w:szCs w:val="24"/>
        </w:rPr>
        <w:t>am 29</w:t>
      </w:r>
      <w:r w:rsidR="00F13DFB">
        <w:rPr>
          <w:rFonts w:ascii="Times New Roman" w:hAnsi="Times New Roman" w:cs="Times New Roman"/>
          <w:sz w:val="24"/>
          <w:szCs w:val="24"/>
        </w:rPr>
        <w:t>.0</w:t>
      </w:r>
      <w:r w:rsidR="008309E5">
        <w:rPr>
          <w:rFonts w:ascii="Times New Roman" w:hAnsi="Times New Roman" w:cs="Times New Roman"/>
          <w:sz w:val="24"/>
          <w:szCs w:val="24"/>
        </w:rPr>
        <w:t>5</w:t>
      </w:r>
      <w:r w:rsidR="00F13DFB">
        <w:rPr>
          <w:rFonts w:ascii="Times New Roman" w:hAnsi="Times New Roman" w:cs="Times New Roman"/>
          <w:sz w:val="24"/>
          <w:szCs w:val="24"/>
        </w:rPr>
        <w:t>.2015 soll</w:t>
      </w:r>
      <w:r w:rsidR="008309E5">
        <w:rPr>
          <w:rFonts w:ascii="Times New Roman" w:hAnsi="Times New Roman" w:cs="Times New Roman"/>
          <w:sz w:val="24"/>
          <w:szCs w:val="24"/>
        </w:rPr>
        <w:t xml:space="preserve"> </w:t>
      </w:r>
      <w:r w:rsidR="00F13DFB">
        <w:rPr>
          <w:rFonts w:ascii="Times New Roman" w:hAnsi="Times New Roman" w:cs="Times New Roman"/>
          <w:sz w:val="24"/>
          <w:szCs w:val="24"/>
        </w:rPr>
        <w:t xml:space="preserve">das </w:t>
      </w:r>
      <w:r>
        <w:rPr>
          <w:rFonts w:ascii="Times New Roman" w:hAnsi="Times New Roman" w:cs="Times New Roman"/>
          <w:sz w:val="24"/>
          <w:szCs w:val="24"/>
        </w:rPr>
        <w:t>8</w:t>
      </w:r>
      <w:r w:rsidR="00F13DFB">
        <w:rPr>
          <w:rFonts w:ascii="Times New Roman" w:hAnsi="Times New Roman" w:cs="Times New Roman"/>
          <w:sz w:val="24"/>
          <w:szCs w:val="24"/>
        </w:rPr>
        <w:t>. Kapitel aus Pikettys „Kapital“ gelesen werden</w:t>
      </w:r>
      <w:r w:rsidR="008309E5">
        <w:rPr>
          <w:rFonts w:ascii="Times New Roman" w:hAnsi="Times New Roman" w:cs="Times New Roman"/>
          <w:sz w:val="24"/>
          <w:szCs w:val="24"/>
        </w:rPr>
        <w:t>.</w:t>
      </w:r>
    </w:p>
    <w:sectPr w:rsidR="0029406F" w:rsidRPr="008F3D09" w:rsidSect="00337DA8">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03" w:rsidRDefault="00402D03" w:rsidP="00925825">
      <w:pPr>
        <w:spacing w:after="0" w:line="240" w:lineRule="auto"/>
      </w:pPr>
      <w:r>
        <w:separator/>
      </w:r>
    </w:p>
  </w:endnote>
  <w:endnote w:type="continuationSeparator" w:id="0">
    <w:p w:rsidR="00402D03" w:rsidRDefault="00402D03" w:rsidP="0092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03" w:rsidRDefault="00402D03" w:rsidP="00925825">
      <w:pPr>
        <w:spacing w:after="0" w:line="240" w:lineRule="auto"/>
      </w:pPr>
      <w:r>
        <w:separator/>
      </w:r>
    </w:p>
  </w:footnote>
  <w:footnote w:type="continuationSeparator" w:id="0">
    <w:p w:rsidR="00402D03" w:rsidRDefault="00402D03" w:rsidP="00925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25" w:rsidRPr="00455902" w:rsidRDefault="00925825" w:rsidP="00925825">
    <w:pPr>
      <w:pStyle w:val="Kopfzeile"/>
      <w:rPr>
        <w:rFonts w:ascii="Arial" w:hAnsi="Arial" w:cs="Arial"/>
        <w:sz w:val="16"/>
        <w:szCs w:val="16"/>
      </w:rPr>
    </w:pPr>
    <w:r w:rsidRPr="00455902">
      <w:rPr>
        <w:rFonts w:ascii="Arial" w:hAnsi="Arial" w:cs="Arial"/>
        <w:sz w:val="16"/>
        <w:szCs w:val="16"/>
      </w:rPr>
      <w:t>Universität Leipzig, Wirtschaftswissenschaftliche Fakultät</w:t>
    </w:r>
    <w:r w:rsidRPr="00455902">
      <w:rPr>
        <w:rFonts w:ascii="Arial" w:hAnsi="Arial" w:cs="Arial"/>
        <w:sz w:val="16"/>
        <w:szCs w:val="16"/>
      </w:rPr>
      <w:ptab w:relativeTo="margin" w:alignment="right" w:leader="none"/>
    </w:r>
    <w:r w:rsidR="00501ECC">
      <w:rPr>
        <w:rFonts w:ascii="Arial" w:hAnsi="Arial" w:cs="Arial"/>
        <w:sz w:val="16"/>
        <w:szCs w:val="16"/>
      </w:rPr>
      <w:t xml:space="preserve">Erwägungsseminar, </w:t>
    </w:r>
    <w:r w:rsidR="008B7A87">
      <w:rPr>
        <w:rFonts w:ascii="Arial" w:hAnsi="Arial" w:cs="Arial"/>
        <w:sz w:val="16"/>
        <w:szCs w:val="16"/>
      </w:rPr>
      <w:t>22</w:t>
    </w:r>
    <w:r w:rsidR="000C78A8">
      <w:rPr>
        <w:rFonts w:ascii="Arial" w:hAnsi="Arial" w:cs="Arial"/>
        <w:sz w:val="16"/>
        <w:szCs w:val="16"/>
      </w:rPr>
      <w:t>.05</w:t>
    </w:r>
    <w:r w:rsidRPr="00455902">
      <w:rPr>
        <w:rFonts w:ascii="Arial" w:hAnsi="Arial" w:cs="Arial"/>
        <w:sz w:val="16"/>
        <w:szCs w:val="16"/>
      </w:rPr>
      <w:t>.201</w:t>
    </w:r>
    <w:r>
      <w:rPr>
        <w:rFonts w:ascii="Arial" w:hAnsi="Arial" w:cs="Arial"/>
        <w:sz w:val="16"/>
        <w:szCs w:val="16"/>
      </w:rPr>
      <w:t>5</w:t>
    </w:r>
  </w:p>
  <w:p w:rsidR="00925825" w:rsidRDefault="0092582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25825"/>
    <w:rsid w:val="00002F0D"/>
    <w:rsid w:val="00006AE1"/>
    <w:rsid w:val="0000792C"/>
    <w:rsid w:val="000118C9"/>
    <w:rsid w:val="00025462"/>
    <w:rsid w:val="00031506"/>
    <w:rsid w:val="000349C6"/>
    <w:rsid w:val="000352CA"/>
    <w:rsid w:val="0004405C"/>
    <w:rsid w:val="0004417E"/>
    <w:rsid w:val="000445B1"/>
    <w:rsid w:val="0005069E"/>
    <w:rsid w:val="00064335"/>
    <w:rsid w:val="0007557D"/>
    <w:rsid w:val="00080E27"/>
    <w:rsid w:val="0008630D"/>
    <w:rsid w:val="00086F1F"/>
    <w:rsid w:val="00087D21"/>
    <w:rsid w:val="0009382F"/>
    <w:rsid w:val="0009435D"/>
    <w:rsid w:val="000976A8"/>
    <w:rsid w:val="000A0C93"/>
    <w:rsid w:val="000A2426"/>
    <w:rsid w:val="000A55E6"/>
    <w:rsid w:val="000B0AB2"/>
    <w:rsid w:val="000B159A"/>
    <w:rsid w:val="000B2891"/>
    <w:rsid w:val="000B3861"/>
    <w:rsid w:val="000B5EB1"/>
    <w:rsid w:val="000B692F"/>
    <w:rsid w:val="000B78FA"/>
    <w:rsid w:val="000C41F7"/>
    <w:rsid w:val="000C5BAB"/>
    <w:rsid w:val="000C78A8"/>
    <w:rsid w:val="000D1410"/>
    <w:rsid w:val="000D2561"/>
    <w:rsid w:val="000D648F"/>
    <w:rsid w:val="000E5901"/>
    <w:rsid w:val="000F2106"/>
    <w:rsid w:val="000F2693"/>
    <w:rsid w:val="000F6411"/>
    <w:rsid w:val="00101A08"/>
    <w:rsid w:val="00104C35"/>
    <w:rsid w:val="00105D69"/>
    <w:rsid w:val="00107552"/>
    <w:rsid w:val="00107601"/>
    <w:rsid w:val="001101AA"/>
    <w:rsid w:val="00113219"/>
    <w:rsid w:val="00120F84"/>
    <w:rsid w:val="00133BA4"/>
    <w:rsid w:val="00136E6F"/>
    <w:rsid w:val="00142B51"/>
    <w:rsid w:val="00150333"/>
    <w:rsid w:val="00151E28"/>
    <w:rsid w:val="00163D03"/>
    <w:rsid w:val="00166D0F"/>
    <w:rsid w:val="00182875"/>
    <w:rsid w:val="00183796"/>
    <w:rsid w:val="00187020"/>
    <w:rsid w:val="001903CA"/>
    <w:rsid w:val="00190A88"/>
    <w:rsid w:val="00196D28"/>
    <w:rsid w:val="001B63F5"/>
    <w:rsid w:val="001C15C3"/>
    <w:rsid w:val="001C7433"/>
    <w:rsid w:val="001C7D44"/>
    <w:rsid w:val="001D02E7"/>
    <w:rsid w:val="001D51EF"/>
    <w:rsid w:val="001E5AB5"/>
    <w:rsid w:val="001F1AE0"/>
    <w:rsid w:val="00207810"/>
    <w:rsid w:val="00210571"/>
    <w:rsid w:val="00214FD0"/>
    <w:rsid w:val="00224484"/>
    <w:rsid w:val="00224717"/>
    <w:rsid w:val="002252DF"/>
    <w:rsid w:val="002300A7"/>
    <w:rsid w:val="002309AD"/>
    <w:rsid w:val="00241B12"/>
    <w:rsid w:val="002539B7"/>
    <w:rsid w:val="00254092"/>
    <w:rsid w:val="002562FC"/>
    <w:rsid w:val="00271A50"/>
    <w:rsid w:val="0028023A"/>
    <w:rsid w:val="00283E2F"/>
    <w:rsid w:val="0028474B"/>
    <w:rsid w:val="0029103C"/>
    <w:rsid w:val="00293A7E"/>
    <w:rsid w:val="0029406F"/>
    <w:rsid w:val="002A257E"/>
    <w:rsid w:val="002A43D8"/>
    <w:rsid w:val="002B1CFC"/>
    <w:rsid w:val="002B6428"/>
    <w:rsid w:val="002B6ABC"/>
    <w:rsid w:val="002B7B95"/>
    <w:rsid w:val="002C3B0B"/>
    <w:rsid w:val="002C7F21"/>
    <w:rsid w:val="002D1A64"/>
    <w:rsid w:val="002D5B6D"/>
    <w:rsid w:val="002D5E03"/>
    <w:rsid w:val="002E0799"/>
    <w:rsid w:val="002E119D"/>
    <w:rsid w:val="002F0F07"/>
    <w:rsid w:val="002F1A93"/>
    <w:rsid w:val="002F382A"/>
    <w:rsid w:val="002F7505"/>
    <w:rsid w:val="00311BF9"/>
    <w:rsid w:val="00317100"/>
    <w:rsid w:val="00337DA8"/>
    <w:rsid w:val="00342DDA"/>
    <w:rsid w:val="00346D92"/>
    <w:rsid w:val="0035432F"/>
    <w:rsid w:val="0035441E"/>
    <w:rsid w:val="00354B84"/>
    <w:rsid w:val="0035619E"/>
    <w:rsid w:val="0035715D"/>
    <w:rsid w:val="003653FD"/>
    <w:rsid w:val="0036781A"/>
    <w:rsid w:val="00370269"/>
    <w:rsid w:val="00373651"/>
    <w:rsid w:val="0037471E"/>
    <w:rsid w:val="00390785"/>
    <w:rsid w:val="00391796"/>
    <w:rsid w:val="00391DED"/>
    <w:rsid w:val="003A18E4"/>
    <w:rsid w:val="003A4E48"/>
    <w:rsid w:val="003B665B"/>
    <w:rsid w:val="003C1D74"/>
    <w:rsid w:val="003C4353"/>
    <w:rsid w:val="003C4E46"/>
    <w:rsid w:val="003D4114"/>
    <w:rsid w:val="003E3EE8"/>
    <w:rsid w:val="003E5473"/>
    <w:rsid w:val="003E5F43"/>
    <w:rsid w:val="003F039D"/>
    <w:rsid w:val="00401FE2"/>
    <w:rsid w:val="00402D03"/>
    <w:rsid w:val="00405945"/>
    <w:rsid w:val="00414366"/>
    <w:rsid w:val="0041597C"/>
    <w:rsid w:val="00431D7D"/>
    <w:rsid w:val="004661C1"/>
    <w:rsid w:val="00473FA2"/>
    <w:rsid w:val="00475A77"/>
    <w:rsid w:val="00480646"/>
    <w:rsid w:val="00482931"/>
    <w:rsid w:val="00486A78"/>
    <w:rsid w:val="00491826"/>
    <w:rsid w:val="004C25DD"/>
    <w:rsid w:val="004C2777"/>
    <w:rsid w:val="004E20C8"/>
    <w:rsid w:val="00500CD6"/>
    <w:rsid w:val="00501964"/>
    <w:rsid w:val="00501ECC"/>
    <w:rsid w:val="005279F2"/>
    <w:rsid w:val="00533A29"/>
    <w:rsid w:val="00536D26"/>
    <w:rsid w:val="00540320"/>
    <w:rsid w:val="00544198"/>
    <w:rsid w:val="0054510C"/>
    <w:rsid w:val="00551407"/>
    <w:rsid w:val="005519C7"/>
    <w:rsid w:val="00551EA6"/>
    <w:rsid w:val="00552994"/>
    <w:rsid w:val="00554EBC"/>
    <w:rsid w:val="00564998"/>
    <w:rsid w:val="00572828"/>
    <w:rsid w:val="00593091"/>
    <w:rsid w:val="005A0107"/>
    <w:rsid w:val="005A12F0"/>
    <w:rsid w:val="005A172C"/>
    <w:rsid w:val="005B71A4"/>
    <w:rsid w:val="005C4928"/>
    <w:rsid w:val="005D499A"/>
    <w:rsid w:val="005D6358"/>
    <w:rsid w:val="005D6556"/>
    <w:rsid w:val="005E17B2"/>
    <w:rsid w:val="00604E99"/>
    <w:rsid w:val="0060681E"/>
    <w:rsid w:val="00624058"/>
    <w:rsid w:val="00626917"/>
    <w:rsid w:val="00633F69"/>
    <w:rsid w:val="00636859"/>
    <w:rsid w:val="00643E86"/>
    <w:rsid w:val="006459B2"/>
    <w:rsid w:val="006503CC"/>
    <w:rsid w:val="00656C81"/>
    <w:rsid w:val="00657965"/>
    <w:rsid w:val="006612EF"/>
    <w:rsid w:val="0066540D"/>
    <w:rsid w:val="0067250D"/>
    <w:rsid w:val="00675771"/>
    <w:rsid w:val="00676569"/>
    <w:rsid w:val="006802D7"/>
    <w:rsid w:val="006815CA"/>
    <w:rsid w:val="0068320D"/>
    <w:rsid w:val="00685249"/>
    <w:rsid w:val="00687937"/>
    <w:rsid w:val="00695DA1"/>
    <w:rsid w:val="006A0AFB"/>
    <w:rsid w:val="006A6B74"/>
    <w:rsid w:val="006D1FD7"/>
    <w:rsid w:val="006E2D1A"/>
    <w:rsid w:val="006E2F46"/>
    <w:rsid w:val="006E7389"/>
    <w:rsid w:val="0070209D"/>
    <w:rsid w:val="0070548D"/>
    <w:rsid w:val="00707833"/>
    <w:rsid w:val="00736430"/>
    <w:rsid w:val="00752775"/>
    <w:rsid w:val="00753532"/>
    <w:rsid w:val="0075413F"/>
    <w:rsid w:val="007632D6"/>
    <w:rsid w:val="00770392"/>
    <w:rsid w:val="00770E39"/>
    <w:rsid w:val="00771443"/>
    <w:rsid w:val="00771CEB"/>
    <w:rsid w:val="00775CFA"/>
    <w:rsid w:val="00775F73"/>
    <w:rsid w:val="00785406"/>
    <w:rsid w:val="00792B5D"/>
    <w:rsid w:val="00796399"/>
    <w:rsid w:val="007974A0"/>
    <w:rsid w:val="007B1B29"/>
    <w:rsid w:val="007C3B7D"/>
    <w:rsid w:val="007E380A"/>
    <w:rsid w:val="00803737"/>
    <w:rsid w:val="008042DB"/>
    <w:rsid w:val="0081309E"/>
    <w:rsid w:val="008169AC"/>
    <w:rsid w:val="008309E5"/>
    <w:rsid w:val="00841969"/>
    <w:rsid w:val="008529F2"/>
    <w:rsid w:val="008703D8"/>
    <w:rsid w:val="0087135C"/>
    <w:rsid w:val="008743FC"/>
    <w:rsid w:val="008758C4"/>
    <w:rsid w:val="00876761"/>
    <w:rsid w:val="008802C0"/>
    <w:rsid w:val="00880F87"/>
    <w:rsid w:val="00881F73"/>
    <w:rsid w:val="008864C3"/>
    <w:rsid w:val="00895D5F"/>
    <w:rsid w:val="008A1814"/>
    <w:rsid w:val="008B7A87"/>
    <w:rsid w:val="008B7BF2"/>
    <w:rsid w:val="008B7DC2"/>
    <w:rsid w:val="008C4DD8"/>
    <w:rsid w:val="008D2661"/>
    <w:rsid w:val="008D6F21"/>
    <w:rsid w:val="008F3D09"/>
    <w:rsid w:val="008F44B9"/>
    <w:rsid w:val="00900B44"/>
    <w:rsid w:val="00906AFB"/>
    <w:rsid w:val="00907CDC"/>
    <w:rsid w:val="00911A63"/>
    <w:rsid w:val="009203EC"/>
    <w:rsid w:val="00923A31"/>
    <w:rsid w:val="00923BCB"/>
    <w:rsid w:val="00925825"/>
    <w:rsid w:val="00936CB4"/>
    <w:rsid w:val="00941EB8"/>
    <w:rsid w:val="0095312E"/>
    <w:rsid w:val="0096101F"/>
    <w:rsid w:val="00963F3B"/>
    <w:rsid w:val="00965863"/>
    <w:rsid w:val="00970D79"/>
    <w:rsid w:val="0098379B"/>
    <w:rsid w:val="0098646E"/>
    <w:rsid w:val="009B0758"/>
    <w:rsid w:val="009E39F1"/>
    <w:rsid w:val="009E3CD5"/>
    <w:rsid w:val="009F14D0"/>
    <w:rsid w:val="009F575F"/>
    <w:rsid w:val="009F7698"/>
    <w:rsid w:val="00A01B16"/>
    <w:rsid w:val="00A06E5B"/>
    <w:rsid w:val="00A1379B"/>
    <w:rsid w:val="00A144D6"/>
    <w:rsid w:val="00A164CB"/>
    <w:rsid w:val="00A22C5A"/>
    <w:rsid w:val="00A23A20"/>
    <w:rsid w:val="00A3044A"/>
    <w:rsid w:val="00A369D4"/>
    <w:rsid w:val="00A60140"/>
    <w:rsid w:val="00A609A1"/>
    <w:rsid w:val="00A70EDD"/>
    <w:rsid w:val="00A755F8"/>
    <w:rsid w:val="00A8077F"/>
    <w:rsid w:val="00A86390"/>
    <w:rsid w:val="00A87479"/>
    <w:rsid w:val="00A9379F"/>
    <w:rsid w:val="00A954BF"/>
    <w:rsid w:val="00AA2437"/>
    <w:rsid w:val="00AA2FD9"/>
    <w:rsid w:val="00AA3731"/>
    <w:rsid w:val="00AB3C01"/>
    <w:rsid w:val="00AC7961"/>
    <w:rsid w:val="00AD3E71"/>
    <w:rsid w:val="00AE7CCC"/>
    <w:rsid w:val="00B3011E"/>
    <w:rsid w:val="00B44417"/>
    <w:rsid w:val="00B50F54"/>
    <w:rsid w:val="00B5761B"/>
    <w:rsid w:val="00B616CD"/>
    <w:rsid w:val="00B637C1"/>
    <w:rsid w:val="00B7295C"/>
    <w:rsid w:val="00B92D34"/>
    <w:rsid w:val="00BC68BF"/>
    <w:rsid w:val="00BD40FE"/>
    <w:rsid w:val="00BE5886"/>
    <w:rsid w:val="00BE6640"/>
    <w:rsid w:val="00BE7E8D"/>
    <w:rsid w:val="00BF1D49"/>
    <w:rsid w:val="00BF247D"/>
    <w:rsid w:val="00BF5C87"/>
    <w:rsid w:val="00C0284A"/>
    <w:rsid w:val="00C04527"/>
    <w:rsid w:val="00C10D41"/>
    <w:rsid w:val="00C133FF"/>
    <w:rsid w:val="00C2460F"/>
    <w:rsid w:val="00C26B97"/>
    <w:rsid w:val="00C4237C"/>
    <w:rsid w:val="00C52496"/>
    <w:rsid w:val="00C548FA"/>
    <w:rsid w:val="00C56575"/>
    <w:rsid w:val="00C63BA6"/>
    <w:rsid w:val="00C63DC5"/>
    <w:rsid w:val="00C72249"/>
    <w:rsid w:val="00C73364"/>
    <w:rsid w:val="00C758BC"/>
    <w:rsid w:val="00C8493C"/>
    <w:rsid w:val="00C9346B"/>
    <w:rsid w:val="00CA0023"/>
    <w:rsid w:val="00CB09CD"/>
    <w:rsid w:val="00CB2CD1"/>
    <w:rsid w:val="00CB5AB1"/>
    <w:rsid w:val="00CC1744"/>
    <w:rsid w:val="00CC2655"/>
    <w:rsid w:val="00CE1DE4"/>
    <w:rsid w:val="00CE5714"/>
    <w:rsid w:val="00CE581E"/>
    <w:rsid w:val="00CE5C17"/>
    <w:rsid w:val="00D008A3"/>
    <w:rsid w:val="00D0686B"/>
    <w:rsid w:val="00D10A9E"/>
    <w:rsid w:val="00D20C57"/>
    <w:rsid w:val="00D22B5C"/>
    <w:rsid w:val="00D33DCC"/>
    <w:rsid w:val="00D475E6"/>
    <w:rsid w:val="00D5017F"/>
    <w:rsid w:val="00D558FB"/>
    <w:rsid w:val="00D55A23"/>
    <w:rsid w:val="00D65209"/>
    <w:rsid w:val="00D738F2"/>
    <w:rsid w:val="00D74DBE"/>
    <w:rsid w:val="00D84A07"/>
    <w:rsid w:val="00D86F14"/>
    <w:rsid w:val="00D957C2"/>
    <w:rsid w:val="00DA4AAE"/>
    <w:rsid w:val="00DA5CAC"/>
    <w:rsid w:val="00DB6256"/>
    <w:rsid w:val="00DB7338"/>
    <w:rsid w:val="00DB7F0A"/>
    <w:rsid w:val="00DD13F2"/>
    <w:rsid w:val="00DD4CE4"/>
    <w:rsid w:val="00DE50E5"/>
    <w:rsid w:val="00DF1E37"/>
    <w:rsid w:val="00DF51B9"/>
    <w:rsid w:val="00E003E7"/>
    <w:rsid w:val="00E1061C"/>
    <w:rsid w:val="00E27BBB"/>
    <w:rsid w:val="00E33391"/>
    <w:rsid w:val="00E40A45"/>
    <w:rsid w:val="00E50DEF"/>
    <w:rsid w:val="00E56DA0"/>
    <w:rsid w:val="00E6136E"/>
    <w:rsid w:val="00E62F35"/>
    <w:rsid w:val="00E74F94"/>
    <w:rsid w:val="00E76C72"/>
    <w:rsid w:val="00E86C23"/>
    <w:rsid w:val="00E919B2"/>
    <w:rsid w:val="00EA6E21"/>
    <w:rsid w:val="00EB4DAE"/>
    <w:rsid w:val="00EB769F"/>
    <w:rsid w:val="00EC0CC8"/>
    <w:rsid w:val="00EC1CEA"/>
    <w:rsid w:val="00ED0698"/>
    <w:rsid w:val="00EE095B"/>
    <w:rsid w:val="00EE26C6"/>
    <w:rsid w:val="00EF3F6B"/>
    <w:rsid w:val="00F02592"/>
    <w:rsid w:val="00F04FA9"/>
    <w:rsid w:val="00F13DFB"/>
    <w:rsid w:val="00F24BD0"/>
    <w:rsid w:val="00F30D67"/>
    <w:rsid w:val="00F32213"/>
    <w:rsid w:val="00F32A10"/>
    <w:rsid w:val="00F443CD"/>
    <w:rsid w:val="00F476BB"/>
    <w:rsid w:val="00F53D64"/>
    <w:rsid w:val="00F67D96"/>
    <w:rsid w:val="00F77C98"/>
    <w:rsid w:val="00F84D52"/>
    <w:rsid w:val="00F903F7"/>
    <w:rsid w:val="00F92B9C"/>
    <w:rsid w:val="00F97121"/>
    <w:rsid w:val="00F97D17"/>
    <w:rsid w:val="00FA3D08"/>
    <w:rsid w:val="00FB18F3"/>
    <w:rsid w:val="00FC31DF"/>
    <w:rsid w:val="00FC374A"/>
    <w:rsid w:val="00FD266E"/>
    <w:rsid w:val="00FD5084"/>
    <w:rsid w:val="00FE00B5"/>
    <w:rsid w:val="00FE5FBF"/>
    <w:rsid w:val="00FF0629"/>
    <w:rsid w:val="00FF4A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D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25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5825"/>
  </w:style>
  <w:style w:type="paragraph" w:styleId="Fuzeile">
    <w:name w:val="footer"/>
    <w:basedOn w:val="Standard"/>
    <w:link w:val="FuzeileZchn"/>
    <w:uiPriority w:val="99"/>
    <w:semiHidden/>
    <w:unhideWhenUsed/>
    <w:rsid w:val="0092582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5825"/>
  </w:style>
  <w:style w:type="character" w:styleId="Hyperlink">
    <w:name w:val="Hyperlink"/>
    <w:basedOn w:val="Absatz-Standardschriftart"/>
    <w:uiPriority w:val="99"/>
    <w:unhideWhenUsed/>
    <w:rsid w:val="009F575F"/>
    <w:rPr>
      <w:color w:val="0000FF" w:themeColor="hyperlink"/>
      <w:u w:val="single"/>
    </w:rPr>
  </w:style>
  <w:style w:type="character" w:styleId="BesuchterHyperlink">
    <w:name w:val="FollowedHyperlink"/>
    <w:basedOn w:val="Absatz-Standardschriftart"/>
    <w:uiPriority w:val="99"/>
    <w:semiHidden/>
    <w:unhideWhenUsed/>
    <w:rsid w:val="000315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rteilungsfrage.org/2014/07/zur-bedeutung-unterschiedlicher-sparquoten-fuer-piket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10929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Fehlberg</dc:creator>
  <cp:lastModifiedBy>Frank Fehlberg</cp:lastModifiedBy>
  <cp:revision>417</cp:revision>
  <dcterms:created xsi:type="dcterms:W3CDTF">2015-01-15T19:12:00Z</dcterms:created>
  <dcterms:modified xsi:type="dcterms:W3CDTF">2015-05-29T11:10:00Z</dcterms:modified>
</cp:coreProperties>
</file>